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240"/>
        <w:gridCol w:w="6210"/>
        <w:gridCol w:w="1980"/>
      </w:tblGrid>
      <w:tr w:rsidR="006C1F01" w:rsidRPr="00CC74A3">
        <w:trPr>
          <w:trHeight w:val="1793"/>
        </w:trPr>
        <w:tc>
          <w:tcPr>
            <w:tcW w:w="3240" w:type="dxa"/>
          </w:tcPr>
          <w:p w:rsidR="006C1F01" w:rsidRPr="00CC74A3" w:rsidRDefault="00D640C2">
            <w:pPr>
              <w:rPr>
                <w:sz w:val="24"/>
                <w:szCs w:val="24"/>
              </w:rPr>
            </w:pPr>
            <w:r w:rsidRPr="00CC74A3">
              <w:rPr>
                <w:noProof/>
                <w:sz w:val="24"/>
                <w:szCs w:val="24"/>
              </w:rPr>
              <w:drawing>
                <wp:inline distT="0" distB="0" distL="0" distR="0">
                  <wp:extent cx="2011680" cy="1235075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6C1F01" w:rsidRPr="00CC74A3" w:rsidRDefault="006C1F01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:rsidR="006C1F01" w:rsidRPr="00CC74A3" w:rsidRDefault="00640FEE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FEE" w:rsidRDefault="00640FEE" w:rsidP="00640FEE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640FEE" w:rsidRDefault="00640FEE" w:rsidP="00640F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640FEE" w:rsidRDefault="00640FEE" w:rsidP="00640FEE">
                                  <w:pPr>
                                    <w:pStyle w:val="Heading4"/>
                                  </w:pPr>
                                  <w:r>
                                    <w:t xml:space="preserve">Robert J. Conlin </w:t>
                                  </w:r>
                                </w:p>
                                <w:p w:rsidR="00640FEE" w:rsidRDefault="00640FEE" w:rsidP="00640F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or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" stroked="f">
                      <v:textbox>
                        <w:txbxContent>
                          <w:p w:rsidR="00640FEE" w:rsidRDefault="00640FEE" w:rsidP="00640FEE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640FEE" w:rsidRDefault="00640FEE" w:rsidP="00640F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640FEE" w:rsidRDefault="00640FEE" w:rsidP="00640FEE">
                            <w:pPr>
                              <w:pStyle w:val="Heading4"/>
                            </w:pPr>
                            <w:r>
                              <w:t xml:space="preserve">Robert J. Conlin </w:t>
                            </w:r>
                          </w:p>
                          <w:p w:rsidR="00640FEE" w:rsidRDefault="00640FEE" w:rsidP="00640FEE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6C1F01" w:rsidRPr="00CC74A3" w:rsidRDefault="00640FEE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371600" cy="1097280"/>
                      <wp:effectExtent l="4445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0FEE" w:rsidRDefault="00640FEE" w:rsidP="00640FEE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640FEE" w:rsidRDefault="00640FEE" w:rsidP="00640FEE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640FEE" w:rsidRDefault="00640FEE" w:rsidP="00640FEE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640FEE" w:rsidRDefault="00640FEE" w:rsidP="00640FEE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640FEE" w:rsidRDefault="00640FEE" w:rsidP="00640FEE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640FEE" w:rsidRDefault="00640FEE" w:rsidP="00640FEE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:rsidR="00640FEE" w:rsidRDefault="00640FEE" w:rsidP="00640FEE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T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" stroked="f">
                      <v:textbox>
                        <w:txbxContent>
                          <w:p w:rsidR="00640FEE" w:rsidRDefault="00640FEE" w:rsidP="00640FEE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640FEE" w:rsidRDefault="00640FEE" w:rsidP="00640FEE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640FEE" w:rsidRDefault="00640FEE" w:rsidP="00640FEE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640FEE" w:rsidRDefault="00640FEE" w:rsidP="00640FEE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640FEE" w:rsidRDefault="00640FEE" w:rsidP="00640FEE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640FEE" w:rsidRDefault="00640FEE" w:rsidP="00640FEE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608-267-4549</w:t>
                            </w:r>
                          </w:p>
                          <w:p w:rsidR="00640FEE" w:rsidRDefault="00640FEE" w:rsidP="00640FEE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C1F01" w:rsidRPr="00CC74A3" w:rsidRDefault="006C1F01">
      <w:pPr>
        <w:rPr>
          <w:sz w:val="24"/>
          <w:szCs w:val="24"/>
        </w:rPr>
      </w:pPr>
    </w:p>
    <w:p w:rsidR="006C1F01" w:rsidRDefault="00E05254">
      <w:pPr>
        <w:pStyle w:val="Heading3"/>
        <w:rPr>
          <w:sz w:val="32"/>
          <w:szCs w:val="32"/>
        </w:rPr>
      </w:pPr>
      <w:r w:rsidRPr="00CC74A3">
        <w:rPr>
          <w:sz w:val="32"/>
          <w:szCs w:val="32"/>
        </w:rPr>
        <w:t>CORRESPONDENCE MEMORANDUM</w:t>
      </w:r>
    </w:p>
    <w:p w:rsidR="001D6245" w:rsidRDefault="001D6245" w:rsidP="001D6245"/>
    <w:p w:rsidR="006C1F01" w:rsidRPr="00CC74A3" w:rsidRDefault="001D6245" w:rsidP="00424DCE">
      <w:pPr>
        <w:jc w:val="right"/>
        <w:rPr>
          <w:sz w:val="24"/>
          <w:szCs w:val="24"/>
        </w:rPr>
      </w:pPr>
      <w:r>
        <w:rPr>
          <w:b/>
        </w:rPr>
        <w:br/>
      </w:r>
    </w:p>
    <w:p w:rsidR="006C1F01" w:rsidRPr="00CC74A3" w:rsidRDefault="006C1F01">
      <w:pPr>
        <w:jc w:val="center"/>
        <w:rPr>
          <w:b/>
          <w:i/>
          <w:sz w:val="24"/>
          <w:szCs w:val="24"/>
        </w:rPr>
      </w:pPr>
    </w:p>
    <w:p w:rsidR="006C1F01" w:rsidRPr="0058262B" w:rsidRDefault="0058262B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0A0AE5">
        <w:rPr>
          <w:b/>
          <w:sz w:val="24"/>
          <w:szCs w:val="24"/>
        </w:rPr>
        <w:tab/>
        <w:t>February 12, 2014</w:t>
      </w:r>
      <w:r w:rsidRPr="0058262B">
        <w:rPr>
          <w:sz w:val="24"/>
          <w:szCs w:val="24"/>
        </w:rPr>
        <w:tab/>
      </w:r>
    </w:p>
    <w:p w:rsidR="006C1F01" w:rsidRPr="00CC74A3" w:rsidRDefault="00E05254">
      <w:pPr>
        <w:rPr>
          <w:sz w:val="24"/>
          <w:szCs w:val="24"/>
        </w:rPr>
      </w:pPr>
      <w:r w:rsidRPr="00CC74A3">
        <w:rPr>
          <w:b/>
          <w:sz w:val="24"/>
          <w:szCs w:val="24"/>
        </w:rPr>
        <w:tab/>
      </w:r>
    </w:p>
    <w:p w:rsidR="006C1F01" w:rsidRPr="0058262B" w:rsidRDefault="00E05254" w:rsidP="000A0AE5">
      <w:pPr>
        <w:tabs>
          <w:tab w:val="left" w:pos="1350"/>
        </w:tabs>
        <w:ind w:left="1350" w:hanging="1350"/>
        <w:rPr>
          <w:sz w:val="24"/>
          <w:szCs w:val="24"/>
        </w:rPr>
      </w:pPr>
      <w:r w:rsidRPr="00CC74A3">
        <w:rPr>
          <w:b/>
          <w:sz w:val="24"/>
          <w:szCs w:val="24"/>
        </w:rPr>
        <w:t>TO:</w:t>
      </w:r>
      <w:r w:rsidR="000A0AE5">
        <w:rPr>
          <w:b/>
          <w:sz w:val="24"/>
          <w:szCs w:val="24"/>
        </w:rPr>
        <w:tab/>
        <w:t>Proposers – Consulting Actuary to State of WI ETF Board</w:t>
      </w:r>
      <w:r w:rsidRPr="0058262B">
        <w:rPr>
          <w:sz w:val="24"/>
          <w:szCs w:val="24"/>
        </w:rPr>
        <w:tab/>
      </w:r>
    </w:p>
    <w:p w:rsidR="006C1F01" w:rsidRPr="00CC74A3" w:rsidRDefault="006C1F01" w:rsidP="00CC74A3">
      <w:pPr>
        <w:tabs>
          <w:tab w:val="left" w:pos="1350"/>
        </w:tabs>
        <w:rPr>
          <w:sz w:val="24"/>
          <w:szCs w:val="24"/>
        </w:rPr>
      </w:pPr>
    </w:p>
    <w:p w:rsidR="000A0AE5" w:rsidRDefault="00E05254" w:rsidP="00CC74A3">
      <w:pPr>
        <w:tabs>
          <w:tab w:val="left" w:pos="1350"/>
        </w:tabs>
        <w:rPr>
          <w:b/>
          <w:sz w:val="24"/>
          <w:szCs w:val="24"/>
        </w:rPr>
      </w:pPr>
      <w:r w:rsidRPr="00CC74A3">
        <w:rPr>
          <w:b/>
          <w:sz w:val="24"/>
          <w:szCs w:val="24"/>
        </w:rPr>
        <w:t>FROM:</w:t>
      </w:r>
      <w:r w:rsidR="000A0AE5">
        <w:rPr>
          <w:b/>
          <w:sz w:val="24"/>
          <w:szCs w:val="24"/>
        </w:rPr>
        <w:tab/>
      </w:r>
      <w:hyperlink r:id="rId7" w:history="1">
        <w:r w:rsidR="000A0AE5" w:rsidRPr="00266A30">
          <w:rPr>
            <w:rStyle w:val="Hyperlink"/>
            <w:b/>
            <w:sz w:val="24"/>
            <w:szCs w:val="24"/>
          </w:rPr>
          <w:t>ETFProcurement@etf.wi.gov</w:t>
        </w:r>
      </w:hyperlink>
    </w:p>
    <w:p w:rsidR="006C1F01" w:rsidRPr="0058262B" w:rsidRDefault="00E05254" w:rsidP="00CC74A3">
      <w:pPr>
        <w:tabs>
          <w:tab w:val="left" w:pos="1350"/>
        </w:tabs>
        <w:rPr>
          <w:sz w:val="24"/>
          <w:szCs w:val="24"/>
        </w:rPr>
      </w:pPr>
      <w:r w:rsidRPr="0058262B">
        <w:rPr>
          <w:sz w:val="24"/>
          <w:szCs w:val="24"/>
        </w:rPr>
        <w:tab/>
      </w:r>
    </w:p>
    <w:p w:rsidR="006C1F01" w:rsidRPr="0058262B" w:rsidRDefault="006C1F01" w:rsidP="00CC74A3">
      <w:pPr>
        <w:tabs>
          <w:tab w:val="left" w:pos="1350"/>
        </w:tabs>
        <w:rPr>
          <w:sz w:val="24"/>
          <w:szCs w:val="24"/>
        </w:rPr>
      </w:pPr>
    </w:p>
    <w:p w:rsidR="001D6245" w:rsidRDefault="00E05254" w:rsidP="00D6270E">
      <w:pPr>
        <w:tabs>
          <w:tab w:val="left" w:pos="1350"/>
        </w:tabs>
        <w:ind w:left="1350" w:hanging="1350"/>
        <w:rPr>
          <w:sz w:val="24"/>
          <w:szCs w:val="24"/>
        </w:rPr>
      </w:pPr>
      <w:r w:rsidRPr="00CC74A3">
        <w:rPr>
          <w:b/>
          <w:sz w:val="24"/>
          <w:szCs w:val="24"/>
        </w:rPr>
        <w:t>SUBJECT:</w:t>
      </w:r>
      <w:r w:rsidR="00CC74A3">
        <w:rPr>
          <w:sz w:val="24"/>
          <w:szCs w:val="24"/>
        </w:rPr>
        <w:tab/>
      </w:r>
      <w:r w:rsidR="000A0AE5">
        <w:rPr>
          <w:sz w:val="24"/>
          <w:szCs w:val="24"/>
        </w:rPr>
        <w:t>RFP ETD0011, ETD0012, ETD0013 Extend Due Date</w:t>
      </w:r>
      <w:r w:rsidR="00D6270E">
        <w:rPr>
          <w:sz w:val="24"/>
          <w:szCs w:val="24"/>
        </w:rPr>
        <w:t>: February 18, 2014 2:00 p.m. CST</w:t>
      </w:r>
    </w:p>
    <w:p w:rsidR="000A0AE5" w:rsidRDefault="000A0AE5" w:rsidP="00CC74A3">
      <w:pPr>
        <w:tabs>
          <w:tab w:val="left" w:pos="1350"/>
        </w:tabs>
        <w:rPr>
          <w:sz w:val="24"/>
          <w:szCs w:val="24"/>
        </w:rPr>
      </w:pPr>
    </w:p>
    <w:p w:rsidR="00D6270E" w:rsidRPr="00D6270E" w:rsidRDefault="00D6270E" w:rsidP="00D6270E">
      <w:pPr>
        <w:rPr>
          <w:rFonts w:ascii="Calibri" w:hAnsi="Calibri"/>
          <w:b/>
        </w:rPr>
      </w:pPr>
      <w:r>
        <w:t>Parts of the United States are under a state of emergency due to ice and snow and loss of electric power. This is likely to affect express delivery of packages</w:t>
      </w:r>
      <w:r w:rsidR="000000B5">
        <w:t xml:space="preserve"> over the entire country</w:t>
      </w:r>
      <w:r>
        <w:t>. Due to these extraordinary circumstances</w:t>
      </w:r>
      <w:r w:rsidR="000000B5">
        <w:t>,</w:t>
      </w:r>
      <w:r>
        <w:t xml:space="preserve"> we are granting an extension of one day to </w:t>
      </w:r>
      <w:r w:rsidRPr="00D6270E">
        <w:rPr>
          <w:b/>
        </w:rPr>
        <w:t>Tuesday, February 18, 2014 2:00 p.m. CST</w:t>
      </w:r>
      <w:r w:rsidR="008F158A">
        <w:rPr>
          <w:b/>
        </w:rPr>
        <w:t xml:space="preserve"> </w:t>
      </w:r>
      <w:r w:rsidR="008F158A" w:rsidRPr="008F158A">
        <w:t>for the above RFPs</w:t>
      </w:r>
      <w:r w:rsidRPr="008F158A">
        <w:t>.</w:t>
      </w:r>
      <w:r w:rsidR="003C62E9">
        <w:rPr>
          <w:b/>
        </w:rPr>
        <w:t xml:space="preserve"> </w:t>
      </w:r>
    </w:p>
    <w:p w:rsidR="00D6270E" w:rsidRPr="00D6270E" w:rsidRDefault="00D6270E" w:rsidP="00D6270E">
      <w:pPr>
        <w:keepNext/>
        <w:numPr>
          <w:ilvl w:val="2"/>
          <w:numId w:val="0"/>
        </w:numPr>
        <w:tabs>
          <w:tab w:val="num" w:pos="900"/>
          <w:tab w:val="num" w:pos="990"/>
        </w:tabs>
        <w:spacing w:before="360" w:after="180"/>
        <w:ind w:left="900" w:hanging="900"/>
        <w:outlineLvl w:val="2"/>
        <w:rPr>
          <w:rFonts w:cs="Arial"/>
          <w:b/>
          <w:bCs/>
          <w:color w:val="1F497D" w:themeColor="text2"/>
          <w:sz w:val="26"/>
          <w:szCs w:val="26"/>
        </w:rPr>
      </w:pPr>
      <w:r>
        <w:rPr>
          <w:rFonts w:cs="Arial"/>
          <w:b/>
          <w:bCs/>
          <w:color w:val="1F497D" w:themeColor="text2"/>
          <w:sz w:val="26"/>
          <w:szCs w:val="26"/>
        </w:rPr>
        <w:t xml:space="preserve">1.1.6 </w:t>
      </w:r>
      <w:r w:rsidRPr="00D6270E">
        <w:rPr>
          <w:rFonts w:cs="Arial"/>
          <w:b/>
          <w:bCs/>
          <w:color w:val="1F497D" w:themeColor="text2"/>
          <w:sz w:val="26"/>
          <w:szCs w:val="26"/>
        </w:rPr>
        <w:t>Calendar of Events</w:t>
      </w:r>
    </w:p>
    <w:p w:rsidR="00D6270E" w:rsidRPr="00D6270E" w:rsidRDefault="00D6270E" w:rsidP="00D6270E">
      <w:pPr>
        <w:spacing w:before="120" w:after="120"/>
        <w:rPr>
          <w:szCs w:val="22"/>
        </w:rPr>
      </w:pPr>
      <w:r w:rsidRPr="00D6270E">
        <w:rPr>
          <w:szCs w:val="22"/>
        </w:rPr>
        <w:t xml:space="preserve">Listed below are the important dates by which actions related to this RFP must be completed. </w:t>
      </w:r>
      <w:r w:rsidRPr="00D6270E">
        <w:rPr>
          <w:b/>
          <w:szCs w:val="22"/>
        </w:rPr>
        <w:t>In the event that the Board or Department finds it necessary to change any of the specific dates</w:t>
      </w:r>
      <w:r w:rsidRPr="00D6270E">
        <w:rPr>
          <w:szCs w:val="22"/>
        </w:rPr>
        <w:t xml:space="preserve"> </w:t>
      </w:r>
      <w:r w:rsidRPr="00D6270E">
        <w:rPr>
          <w:b/>
          <w:szCs w:val="22"/>
        </w:rPr>
        <w:t>and times in the calendar of events listed below, it will do so by issuing a supplement to this RFP via the ETF Extranet listed in Section</w:t>
      </w:r>
      <w:r w:rsidRPr="00D6270E">
        <w:rPr>
          <w:b/>
          <w:sz w:val="21"/>
          <w:szCs w:val="22"/>
        </w:rPr>
        <w:t xml:space="preserve"> 1.1.</w:t>
      </w:r>
      <w:r w:rsidR="008F158A">
        <w:rPr>
          <w:b/>
          <w:sz w:val="21"/>
          <w:szCs w:val="22"/>
        </w:rPr>
        <w:t>3</w:t>
      </w:r>
      <w:bookmarkStart w:id="0" w:name="_GoBack"/>
      <w:bookmarkEnd w:id="0"/>
      <w:r w:rsidRPr="00D6270E">
        <w:rPr>
          <w:b/>
          <w:szCs w:val="22"/>
        </w:rPr>
        <w:t xml:space="preserve">.  </w:t>
      </w:r>
      <w:r w:rsidRPr="00D6270E">
        <w:rPr>
          <w:szCs w:val="22"/>
        </w:rPr>
        <w:t xml:space="preserve">No other formal notification will be issued. </w:t>
      </w:r>
    </w:p>
    <w:p w:rsidR="00D6270E" w:rsidRPr="00D6270E" w:rsidRDefault="00D6270E" w:rsidP="00D6270E">
      <w:pPr>
        <w:keepNext/>
        <w:spacing w:before="240" w:after="120"/>
        <w:ind w:left="90"/>
        <w:jc w:val="center"/>
        <w:rPr>
          <w:rFonts w:ascii="Times New Roman" w:hAnsi="Times New Roman"/>
          <w:b/>
          <w:bCs/>
          <w:i/>
          <w:sz w:val="20"/>
        </w:rPr>
      </w:pPr>
      <w:bookmarkStart w:id="1" w:name="_Toc331574866"/>
      <w:bookmarkStart w:id="2" w:name="_Toc347924843"/>
      <w:r w:rsidRPr="00D6270E">
        <w:rPr>
          <w:rFonts w:ascii="Times New Roman" w:hAnsi="Times New Roman"/>
          <w:b/>
          <w:bCs/>
          <w:i/>
          <w:sz w:val="20"/>
        </w:rPr>
        <w:t xml:space="preserve">Table </w:t>
      </w:r>
      <w:r w:rsidRPr="00D6270E">
        <w:rPr>
          <w:rFonts w:ascii="Times New Roman" w:hAnsi="Times New Roman"/>
          <w:b/>
          <w:bCs/>
          <w:i/>
          <w:sz w:val="20"/>
        </w:rPr>
        <w:fldChar w:fldCharType="begin"/>
      </w:r>
      <w:r w:rsidRPr="00D6270E">
        <w:rPr>
          <w:rFonts w:ascii="Times New Roman" w:hAnsi="Times New Roman"/>
          <w:b/>
          <w:bCs/>
          <w:i/>
          <w:sz w:val="20"/>
        </w:rPr>
        <w:instrText xml:space="preserve"> SEQ Table \* ARABIC </w:instrText>
      </w:r>
      <w:r w:rsidRPr="00D6270E">
        <w:rPr>
          <w:rFonts w:ascii="Times New Roman" w:hAnsi="Times New Roman"/>
          <w:b/>
          <w:bCs/>
          <w:i/>
          <w:sz w:val="20"/>
        </w:rPr>
        <w:fldChar w:fldCharType="separate"/>
      </w:r>
      <w:r w:rsidR="000B6AD8">
        <w:rPr>
          <w:rFonts w:ascii="Times New Roman" w:hAnsi="Times New Roman"/>
          <w:b/>
          <w:bCs/>
          <w:i/>
          <w:noProof/>
          <w:sz w:val="20"/>
        </w:rPr>
        <w:t>1</w:t>
      </w:r>
      <w:r w:rsidRPr="00D6270E">
        <w:rPr>
          <w:rFonts w:ascii="Times New Roman" w:hAnsi="Times New Roman"/>
          <w:b/>
          <w:bCs/>
          <w:i/>
          <w:noProof/>
          <w:sz w:val="20"/>
        </w:rPr>
        <w:fldChar w:fldCharType="end"/>
      </w:r>
      <w:r w:rsidRPr="00D6270E">
        <w:rPr>
          <w:rFonts w:ascii="Times New Roman" w:hAnsi="Times New Roman"/>
          <w:b/>
          <w:bCs/>
          <w:i/>
          <w:sz w:val="20"/>
        </w:rPr>
        <w:t xml:space="preserve"> Calendar of Events</w:t>
      </w:r>
      <w:bookmarkEnd w:id="1"/>
      <w:bookmarkEnd w:id="2"/>
    </w:p>
    <w:tbl>
      <w:tblPr>
        <w:tblStyle w:val="LRWLTableStyle"/>
        <w:tblW w:w="9504" w:type="dxa"/>
        <w:tblLook w:val="04A0" w:firstRow="1" w:lastRow="0" w:firstColumn="1" w:lastColumn="0" w:noHBand="0" w:noVBand="1"/>
      </w:tblPr>
      <w:tblGrid>
        <w:gridCol w:w="3582"/>
        <w:gridCol w:w="5922"/>
      </w:tblGrid>
      <w:tr w:rsidR="00D6270E" w:rsidRPr="00D6270E" w:rsidTr="00080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82" w:type="dxa"/>
            <w:tcBorders>
              <w:bottom w:val="single" w:sz="4" w:space="0" w:color="FFFFFF"/>
            </w:tcBorders>
            <w:shd w:val="clear" w:color="auto" w:fill="548DD4" w:themeFill="text2" w:themeFillTint="99"/>
          </w:tcPr>
          <w:p w:rsidR="00D6270E" w:rsidRPr="00D6270E" w:rsidRDefault="00D6270E" w:rsidP="00D6270E">
            <w:pPr>
              <w:spacing w:before="120" w:after="120"/>
              <w:rPr>
                <w:rFonts w:ascii="Arial Rounded MT Bold" w:hAnsi="Arial Rounded MT Bold"/>
                <w:szCs w:val="22"/>
              </w:rPr>
            </w:pPr>
            <w:r w:rsidRPr="00D6270E">
              <w:rPr>
                <w:rFonts w:ascii="Arial Rounded MT Bold" w:hAnsi="Arial Rounded MT Bold"/>
                <w:szCs w:val="22"/>
              </w:rPr>
              <w:t>Date</w:t>
            </w:r>
          </w:p>
        </w:tc>
        <w:tc>
          <w:tcPr>
            <w:tcW w:w="5922" w:type="dxa"/>
            <w:tcBorders>
              <w:bottom w:val="single" w:sz="4" w:space="0" w:color="FFFFFF"/>
            </w:tcBorders>
            <w:shd w:val="clear" w:color="auto" w:fill="548DD4" w:themeFill="text2" w:themeFillTint="99"/>
          </w:tcPr>
          <w:p w:rsidR="00D6270E" w:rsidRPr="00D6270E" w:rsidRDefault="00D6270E" w:rsidP="00D6270E">
            <w:pPr>
              <w:spacing w:before="120" w:after="120"/>
              <w:rPr>
                <w:rFonts w:ascii="Arial Rounded MT Bold" w:hAnsi="Arial Rounded MT Bold"/>
                <w:szCs w:val="22"/>
              </w:rPr>
            </w:pPr>
            <w:r w:rsidRPr="00D6270E">
              <w:rPr>
                <w:rFonts w:ascii="Arial Rounded MT Bold" w:hAnsi="Arial Rounded MT Bold"/>
                <w:szCs w:val="22"/>
              </w:rPr>
              <w:t>Event</w:t>
            </w:r>
          </w:p>
        </w:tc>
      </w:tr>
      <w:tr w:rsidR="00D6270E" w:rsidRPr="00D6270E" w:rsidTr="00080488">
        <w:tc>
          <w:tcPr>
            <w:tcW w:w="358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szCs w:val="22"/>
              </w:rPr>
            </w:pPr>
            <w:r w:rsidRPr="00D6270E">
              <w:rPr>
                <w:szCs w:val="22"/>
              </w:rPr>
              <w:t>January 6, 2014</w:t>
            </w:r>
          </w:p>
        </w:tc>
        <w:tc>
          <w:tcPr>
            <w:tcW w:w="592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szCs w:val="22"/>
              </w:rPr>
            </w:pPr>
            <w:r w:rsidRPr="00D6270E">
              <w:rPr>
                <w:szCs w:val="22"/>
              </w:rPr>
              <w:t>ETF Issues RFP</w:t>
            </w:r>
          </w:p>
        </w:tc>
      </w:tr>
      <w:tr w:rsidR="00D6270E" w:rsidRPr="00D6270E" w:rsidTr="00080488">
        <w:tc>
          <w:tcPr>
            <w:tcW w:w="358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szCs w:val="22"/>
              </w:rPr>
            </w:pPr>
            <w:r w:rsidRPr="00D6270E">
              <w:rPr>
                <w:szCs w:val="22"/>
              </w:rPr>
              <w:t>January 21, 2014</w:t>
            </w:r>
          </w:p>
        </w:tc>
        <w:tc>
          <w:tcPr>
            <w:tcW w:w="592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szCs w:val="22"/>
              </w:rPr>
            </w:pPr>
            <w:r w:rsidRPr="00D6270E">
              <w:rPr>
                <w:szCs w:val="22"/>
              </w:rPr>
              <w:t>Vendor Questions and Letter of Intent Due</w:t>
            </w:r>
          </w:p>
        </w:tc>
      </w:tr>
      <w:tr w:rsidR="00D6270E" w:rsidRPr="00D6270E" w:rsidTr="00080488">
        <w:tc>
          <w:tcPr>
            <w:tcW w:w="358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szCs w:val="22"/>
              </w:rPr>
            </w:pPr>
            <w:r w:rsidRPr="00D6270E">
              <w:rPr>
                <w:szCs w:val="22"/>
              </w:rPr>
              <w:t>January 28, 2014</w:t>
            </w:r>
          </w:p>
        </w:tc>
        <w:tc>
          <w:tcPr>
            <w:tcW w:w="592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szCs w:val="22"/>
              </w:rPr>
            </w:pPr>
            <w:r w:rsidRPr="00D6270E">
              <w:rPr>
                <w:szCs w:val="22"/>
              </w:rPr>
              <w:t>ETF Posts Answers to Questions on ETF Extranet</w:t>
            </w:r>
          </w:p>
        </w:tc>
      </w:tr>
      <w:tr w:rsidR="00D6270E" w:rsidRPr="00D6270E" w:rsidTr="00080488">
        <w:tc>
          <w:tcPr>
            <w:tcW w:w="358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b/>
                <w:szCs w:val="22"/>
              </w:rPr>
            </w:pPr>
            <w:r w:rsidRPr="00D6270E">
              <w:rPr>
                <w:b/>
                <w:sz w:val="20"/>
              </w:rPr>
              <w:t>February 17, 2014 2:00 P.M. CST</w:t>
            </w:r>
            <w:r w:rsidR="004D0617">
              <w:rPr>
                <w:b/>
                <w:sz w:val="20"/>
              </w:rPr>
              <w:t xml:space="preserve"> Extended one day</w:t>
            </w:r>
          </w:p>
        </w:tc>
        <w:tc>
          <w:tcPr>
            <w:tcW w:w="5922" w:type="dxa"/>
            <w:shd w:val="clear" w:color="auto" w:fill="C6D9F1" w:themeFill="text2" w:themeFillTint="33"/>
          </w:tcPr>
          <w:p w:rsidR="00D6270E" w:rsidRPr="00D6270E" w:rsidRDefault="00D6270E" w:rsidP="00D6270E">
            <w:pPr>
              <w:spacing w:before="120" w:after="120"/>
              <w:jc w:val="both"/>
              <w:rPr>
                <w:b/>
                <w:szCs w:val="22"/>
              </w:rPr>
            </w:pPr>
            <w:r w:rsidRPr="00D6270E">
              <w:rPr>
                <w:b/>
                <w:szCs w:val="22"/>
              </w:rPr>
              <w:t>Proposals Due</w:t>
            </w:r>
            <w:r w:rsidR="004D0617">
              <w:rPr>
                <w:b/>
                <w:szCs w:val="22"/>
              </w:rPr>
              <w:t xml:space="preserve"> – Extended to: February 18, 2014 2:00 PM CST</w:t>
            </w:r>
          </w:p>
        </w:tc>
      </w:tr>
    </w:tbl>
    <w:p w:rsidR="00325C9A" w:rsidRDefault="00325C9A" w:rsidP="00CC74A3">
      <w:pPr>
        <w:tabs>
          <w:tab w:val="left" w:pos="1350"/>
        </w:tabs>
        <w:rPr>
          <w:sz w:val="24"/>
          <w:szCs w:val="24"/>
        </w:rPr>
      </w:pPr>
    </w:p>
    <w:p w:rsidR="003C62E9" w:rsidRDefault="003C62E9" w:rsidP="00CC74A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Our offices will be open Monday, February 17</w:t>
      </w:r>
      <w:r w:rsidRPr="003C62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2014 to accept deliveries.</w:t>
      </w:r>
    </w:p>
    <w:sectPr w:rsidR="003C62E9" w:rsidSect="006C1F01">
      <w:pgSz w:w="12240" w:h="15840" w:code="1"/>
      <w:pgMar w:top="54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B2" w:rsidRDefault="009C4BB2">
      <w:r>
        <w:separator/>
      </w:r>
    </w:p>
  </w:endnote>
  <w:endnote w:type="continuationSeparator" w:id="0">
    <w:p w:rsidR="009C4BB2" w:rsidRDefault="009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B2" w:rsidRDefault="009C4BB2">
      <w:r>
        <w:separator/>
      </w:r>
    </w:p>
  </w:footnote>
  <w:footnote w:type="continuationSeparator" w:id="0">
    <w:p w:rsidR="009C4BB2" w:rsidRDefault="009C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A3"/>
    <w:rsid w:val="000000B5"/>
    <w:rsid w:val="000A0AE5"/>
    <w:rsid w:val="000B6AD8"/>
    <w:rsid w:val="0010004A"/>
    <w:rsid w:val="001D6245"/>
    <w:rsid w:val="00325C9A"/>
    <w:rsid w:val="003C62E9"/>
    <w:rsid w:val="004051C3"/>
    <w:rsid w:val="00424DCE"/>
    <w:rsid w:val="004D0617"/>
    <w:rsid w:val="0058262B"/>
    <w:rsid w:val="00640FEE"/>
    <w:rsid w:val="006C1F01"/>
    <w:rsid w:val="007376A2"/>
    <w:rsid w:val="00805504"/>
    <w:rsid w:val="008E58E2"/>
    <w:rsid w:val="008F158A"/>
    <w:rsid w:val="009C4BB2"/>
    <w:rsid w:val="00CC74A3"/>
    <w:rsid w:val="00D6270E"/>
    <w:rsid w:val="00D640C2"/>
    <w:rsid w:val="00E05254"/>
    <w:rsid w:val="00FA28DD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347F9-A593-4677-A8B3-7F10B1E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0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C1F0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6C1F01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C1F01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6C1F01"/>
    <w:pPr>
      <w:keepNext/>
      <w:jc w:val="center"/>
      <w:outlineLvl w:val="3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1F01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semiHidden/>
    <w:rsid w:val="006C1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F01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6C1F01"/>
  </w:style>
  <w:style w:type="paragraph" w:customStyle="1" w:styleId="InsideAddress">
    <w:name w:val="Inside Address"/>
    <w:basedOn w:val="Normal"/>
    <w:rsid w:val="006C1F01"/>
  </w:style>
  <w:style w:type="paragraph" w:styleId="Salutation">
    <w:name w:val="Salutation"/>
    <w:basedOn w:val="Normal"/>
    <w:next w:val="Normal"/>
    <w:semiHidden/>
    <w:rsid w:val="006C1F01"/>
  </w:style>
  <w:style w:type="paragraph" w:styleId="Date">
    <w:name w:val="Date"/>
    <w:basedOn w:val="Normal"/>
    <w:next w:val="Normal"/>
    <w:semiHidden/>
    <w:rsid w:val="006C1F01"/>
  </w:style>
  <w:style w:type="paragraph" w:styleId="Closing">
    <w:name w:val="Closing"/>
    <w:basedOn w:val="Normal"/>
    <w:semiHidden/>
    <w:rsid w:val="006C1F01"/>
  </w:style>
  <w:style w:type="paragraph" w:styleId="Signature">
    <w:name w:val="Signature"/>
    <w:basedOn w:val="Normal"/>
    <w:semiHidden/>
    <w:rsid w:val="006C1F01"/>
  </w:style>
  <w:style w:type="paragraph" w:styleId="BodyText">
    <w:name w:val="Body Text"/>
    <w:basedOn w:val="Normal"/>
    <w:semiHidden/>
    <w:rsid w:val="006C1F01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0A0AE5"/>
    <w:rPr>
      <w:color w:val="0000FF" w:themeColor="hyperlink"/>
      <w:u w:val="single"/>
    </w:rPr>
  </w:style>
  <w:style w:type="table" w:customStyle="1" w:styleId="LRWLTableStyle">
    <w:name w:val="LRWL Table Style"/>
    <w:basedOn w:val="TableNormal"/>
    <w:rsid w:val="00D6270E"/>
    <w:pPr>
      <w:spacing w:before="60" w:after="60"/>
      <w:jc w:val="center"/>
    </w:pPr>
    <w:rPr>
      <w:rFonts w:ascii="Arial" w:hAnsi="Arial"/>
      <w:sz w:val="21"/>
    </w:rPr>
    <w:tblPr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 Rounded MT Bold" w:hAnsi="Arial Rounded MT Bold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FProcurement@etf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1443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blankmw</dc:creator>
  <cp:keywords/>
  <cp:lastModifiedBy>Blank, Mark</cp:lastModifiedBy>
  <cp:revision>6</cp:revision>
  <cp:lastPrinted>2014-02-12T17:25:00Z</cp:lastPrinted>
  <dcterms:created xsi:type="dcterms:W3CDTF">2014-02-12T16:57:00Z</dcterms:created>
  <dcterms:modified xsi:type="dcterms:W3CDTF">2014-02-12T17:49:00Z</dcterms:modified>
</cp:coreProperties>
</file>