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90BF2" w14:textId="77777777" w:rsidR="00F60022" w:rsidRPr="00F60022" w:rsidRDefault="0023319D" w:rsidP="00F60022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60022">
        <w:rPr>
          <w:rFonts w:ascii="Arial" w:hAnsi="Arial" w:cs="Arial"/>
          <w:b/>
          <w:sz w:val="36"/>
          <w:szCs w:val="36"/>
          <w:u w:val="single"/>
        </w:rPr>
        <w:t>Vendor Questions</w:t>
      </w:r>
      <w:r w:rsidR="00F60022" w:rsidRPr="00F60022">
        <w:rPr>
          <w:rFonts w:ascii="Arial" w:hAnsi="Arial" w:cs="Arial"/>
          <w:b/>
          <w:sz w:val="36"/>
          <w:szCs w:val="36"/>
          <w:u w:val="single"/>
        </w:rPr>
        <w:t xml:space="preserve"> and Answers</w:t>
      </w:r>
    </w:p>
    <w:p w14:paraId="711C0D2A" w14:textId="77777777" w:rsidR="00F60022" w:rsidRPr="008E0C26" w:rsidRDefault="00F60022" w:rsidP="00F60022">
      <w:pPr>
        <w:pStyle w:val="Title"/>
        <w:spacing w:line="360" w:lineRule="auto"/>
        <w:contextualSpacing/>
        <w:rPr>
          <w:b w:val="0"/>
          <w:sz w:val="36"/>
          <w:szCs w:val="36"/>
        </w:rPr>
      </w:pPr>
      <w:r w:rsidRPr="008E0C26">
        <w:rPr>
          <w:b w:val="0"/>
          <w:sz w:val="36"/>
          <w:szCs w:val="36"/>
        </w:rPr>
        <w:t xml:space="preserve">Request for Bids (RFB) #ETE0011 </w:t>
      </w:r>
    </w:p>
    <w:p w14:paraId="5C3204AF" w14:textId="77777777" w:rsidR="00F60022" w:rsidRPr="008E0C26" w:rsidRDefault="00F60022" w:rsidP="00F60022">
      <w:pPr>
        <w:jc w:val="center"/>
        <w:rPr>
          <w:rFonts w:ascii="Arial" w:hAnsi="Arial" w:cs="Arial"/>
          <w:sz w:val="36"/>
          <w:szCs w:val="36"/>
        </w:rPr>
      </w:pPr>
      <w:r w:rsidRPr="008E0C26">
        <w:rPr>
          <w:rFonts w:ascii="Arial" w:hAnsi="Arial" w:cs="Arial"/>
          <w:sz w:val="36"/>
          <w:szCs w:val="36"/>
        </w:rPr>
        <w:t xml:space="preserve">Financial Statements Audits </w:t>
      </w:r>
    </w:p>
    <w:p w14:paraId="05EA944E" w14:textId="77777777" w:rsidR="00F60022" w:rsidRPr="008E0C26" w:rsidRDefault="00F60022" w:rsidP="00F60022">
      <w:pPr>
        <w:tabs>
          <w:tab w:val="center" w:pos="4680"/>
          <w:tab w:val="left" w:pos="7200"/>
        </w:tabs>
        <w:rPr>
          <w:rFonts w:ascii="Arial" w:hAnsi="Arial" w:cs="Arial"/>
          <w:sz w:val="36"/>
          <w:szCs w:val="36"/>
        </w:rPr>
      </w:pPr>
      <w:r w:rsidRPr="008E0C26">
        <w:rPr>
          <w:rFonts w:ascii="Arial" w:hAnsi="Arial" w:cs="Arial"/>
          <w:sz w:val="36"/>
          <w:szCs w:val="36"/>
        </w:rPr>
        <w:tab/>
      </w:r>
      <w:proofErr w:type="gramStart"/>
      <w:r w:rsidRPr="008E0C26">
        <w:rPr>
          <w:rFonts w:ascii="Arial" w:hAnsi="Arial" w:cs="Arial"/>
          <w:sz w:val="36"/>
          <w:szCs w:val="36"/>
        </w:rPr>
        <w:t>for</w:t>
      </w:r>
      <w:proofErr w:type="gramEnd"/>
      <w:r w:rsidRPr="008E0C26">
        <w:rPr>
          <w:rFonts w:ascii="Arial" w:hAnsi="Arial" w:cs="Arial"/>
          <w:sz w:val="36"/>
          <w:szCs w:val="36"/>
        </w:rPr>
        <w:t xml:space="preserve"> the Wisconsin </w:t>
      </w:r>
      <w:r w:rsidRPr="008E0C26">
        <w:rPr>
          <w:rFonts w:ascii="Arial" w:hAnsi="Arial" w:cs="Arial"/>
          <w:sz w:val="36"/>
          <w:szCs w:val="36"/>
        </w:rPr>
        <w:tab/>
      </w:r>
    </w:p>
    <w:p w14:paraId="134828F0" w14:textId="77777777" w:rsidR="00F60022" w:rsidRPr="008E0C26" w:rsidRDefault="00F60022" w:rsidP="00F60022">
      <w:pPr>
        <w:jc w:val="center"/>
        <w:rPr>
          <w:rFonts w:ascii="Arial" w:hAnsi="Arial" w:cs="Arial"/>
          <w:sz w:val="36"/>
          <w:szCs w:val="36"/>
        </w:rPr>
      </w:pPr>
      <w:r w:rsidRPr="008E0C26">
        <w:rPr>
          <w:rFonts w:ascii="Arial" w:hAnsi="Arial" w:cs="Arial"/>
          <w:sz w:val="36"/>
          <w:szCs w:val="36"/>
        </w:rPr>
        <w:t>Deferred Compensation Program</w:t>
      </w:r>
    </w:p>
    <w:p w14:paraId="5257464B" w14:textId="77777777" w:rsidR="00F60022" w:rsidRPr="00AE3BD3" w:rsidRDefault="00F60022" w:rsidP="00F60022">
      <w:pPr>
        <w:jc w:val="center"/>
        <w:rPr>
          <w:rFonts w:ascii="Arial" w:hAnsi="Arial" w:cs="Arial"/>
          <w:b/>
          <w:sz w:val="28"/>
          <w:szCs w:val="28"/>
        </w:rPr>
      </w:pPr>
    </w:p>
    <w:p w14:paraId="7930938B" w14:textId="77777777" w:rsidR="00F60022" w:rsidRPr="00AE3BD3" w:rsidRDefault="00F60022" w:rsidP="008E0C26">
      <w:pPr>
        <w:spacing w:before="120" w:after="120"/>
        <w:jc w:val="center"/>
        <w:rPr>
          <w:rFonts w:ascii="Arial" w:hAnsi="Arial" w:cs="Arial"/>
        </w:rPr>
      </w:pPr>
      <w:r w:rsidRPr="00AE3BD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0" allowOverlap="1" wp14:anchorId="7A2110A0" wp14:editId="6187D3B1">
            <wp:simplePos x="0" y="0"/>
            <wp:positionH relativeFrom="column">
              <wp:posOffset>182880</wp:posOffset>
            </wp:positionH>
            <wp:positionV relativeFrom="paragraph">
              <wp:posOffset>163195</wp:posOffset>
            </wp:positionV>
            <wp:extent cx="5486400" cy="339979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9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935B4" w14:textId="77777777" w:rsidR="00F60022" w:rsidRPr="00437174" w:rsidRDefault="00F60022" w:rsidP="008E0C26">
      <w:pPr>
        <w:pStyle w:val="Heading5"/>
        <w:spacing w:before="120" w:after="120"/>
        <w:ind w:left="0" w:firstLine="0"/>
        <w:jc w:val="center"/>
        <w:rPr>
          <w:rFonts w:ascii="Arial" w:hAnsi="Arial" w:cs="Arial"/>
          <w:color w:val="auto"/>
          <w:sz w:val="36"/>
          <w:szCs w:val="36"/>
        </w:rPr>
      </w:pPr>
      <w:r w:rsidRPr="00437174">
        <w:rPr>
          <w:rFonts w:ascii="Arial" w:hAnsi="Arial" w:cs="Arial"/>
          <w:color w:val="auto"/>
          <w:sz w:val="36"/>
          <w:szCs w:val="36"/>
        </w:rPr>
        <w:t>State of Wisconsin</w:t>
      </w:r>
    </w:p>
    <w:p w14:paraId="2BAE1E1F" w14:textId="77777777" w:rsidR="00F60022" w:rsidRPr="00437174" w:rsidRDefault="00F60022" w:rsidP="008E0C26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437174">
        <w:rPr>
          <w:rFonts w:ascii="Arial" w:hAnsi="Arial" w:cs="Arial"/>
          <w:sz w:val="36"/>
          <w:szCs w:val="36"/>
        </w:rPr>
        <w:t>Deferred Compensation Board</w:t>
      </w:r>
    </w:p>
    <w:p w14:paraId="51C65C09" w14:textId="77777777" w:rsidR="00F60022" w:rsidRPr="00437174" w:rsidRDefault="00F60022" w:rsidP="008E0C26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437174">
        <w:rPr>
          <w:rFonts w:ascii="Arial" w:hAnsi="Arial" w:cs="Arial"/>
          <w:sz w:val="36"/>
          <w:szCs w:val="36"/>
        </w:rPr>
        <w:t>Administered by the Department of Employee Trust Funds</w:t>
      </w:r>
    </w:p>
    <w:p w14:paraId="41C597C4" w14:textId="77777777" w:rsidR="00F60022" w:rsidRPr="00AE3BD3" w:rsidRDefault="00F60022" w:rsidP="00F60022">
      <w:pPr>
        <w:keepNext/>
        <w:keepLines/>
        <w:spacing w:before="200"/>
        <w:outlineLvl w:val="6"/>
        <w:rPr>
          <w:rFonts w:ascii="Arial" w:hAnsi="Arial" w:cs="Arial"/>
          <w:i/>
          <w:iCs/>
          <w:color w:val="404040"/>
          <w:sz w:val="28"/>
          <w:szCs w:val="28"/>
        </w:rPr>
      </w:pPr>
    </w:p>
    <w:p w14:paraId="545C1384" w14:textId="77777777" w:rsidR="00F60022" w:rsidRPr="00F60022" w:rsidRDefault="00F60022" w:rsidP="00F6002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60022">
        <w:rPr>
          <w:rFonts w:ascii="Arial" w:hAnsi="Arial" w:cs="Arial"/>
          <w:b/>
          <w:sz w:val="36"/>
          <w:szCs w:val="36"/>
        </w:rPr>
        <w:t>Posted to Extranet on August 29, 2014</w:t>
      </w:r>
    </w:p>
    <w:p w14:paraId="6B659C92" w14:textId="77777777" w:rsidR="00F60022" w:rsidRDefault="00F60022" w:rsidP="00F60022">
      <w:pPr>
        <w:spacing w:after="0"/>
        <w:rPr>
          <w:rFonts w:ascii="Arial Rounded MT Bold" w:hAnsi="Arial Rounded MT Bold" w:cs="Arial"/>
        </w:rPr>
      </w:pPr>
    </w:p>
    <w:tbl>
      <w:tblPr>
        <w:tblStyle w:val="LRWLTableStyle"/>
        <w:tblpPr w:leftFromText="180" w:rightFromText="180" w:vertAnchor="page" w:horzAnchor="margin" w:tblpY="275"/>
        <w:tblW w:w="9081" w:type="dxa"/>
        <w:jc w:val="left"/>
        <w:tblLook w:val="04A0" w:firstRow="1" w:lastRow="0" w:firstColumn="1" w:lastColumn="0" w:noHBand="0" w:noVBand="1"/>
      </w:tblPr>
      <w:tblGrid>
        <w:gridCol w:w="613"/>
        <w:gridCol w:w="1008"/>
        <w:gridCol w:w="731"/>
        <w:gridCol w:w="6729"/>
      </w:tblGrid>
      <w:tr w:rsidR="00F60022" w:rsidRPr="008718AC" w14:paraId="0FD84CB9" w14:textId="77777777" w:rsidTr="007A1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left"/>
        </w:trPr>
        <w:tc>
          <w:tcPr>
            <w:tcW w:w="612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34348347" w14:textId="77777777" w:rsidR="00F60022" w:rsidRPr="008718AC" w:rsidRDefault="00F60022" w:rsidP="007A163C">
            <w:pPr>
              <w:rPr>
                <w:rFonts w:ascii="Arial" w:hAnsi="Arial" w:cs="Arial"/>
                <w:color w:val="FFFFFF" w:themeColor="background1"/>
                <w:szCs w:val="21"/>
              </w:rPr>
            </w:pPr>
            <w:r w:rsidRPr="008718AC">
              <w:rPr>
                <w:rFonts w:ascii="Arial" w:hAnsi="Arial" w:cs="Arial"/>
                <w:color w:val="FFFFFF" w:themeColor="background1"/>
                <w:szCs w:val="21"/>
              </w:rPr>
              <w:lastRenderedPageBreak/>
              <w:t>No.</w:t>
            </w:r>
          </w:p>
        </w:tc>
        <w:tc>
          <w:tcPr>
            <w:tcW w:w="1818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5D9D068B" w14:textId="77777777" w:rsidR="00F60022" w:rsidRPr="008718AC" w:rsidRDefault="00F60022" w:rsidP="007A163C">
            <w:pPr>
              <w:rPr>
                <w:rFonts w:ascii="Arial" w:hAnsi="Arial" w:cs="Arial"/>
                <w:color w:val="FFFFFF" w:themeColor="background1"/>
                <w:szCs w:val="21"/>
              </w:rPr>
            </w:pPr>
            <w:r w:rsidRPr="008718AC">
              <w:rPr>
                <w:rFonts w:ascii="Arial" w:hAnsi="Arial" w:cs="Arial"/>
                <w:color w:val="FFFFFF" w:themeColor="background1"/>
                <w:szCs w:val="21"/>
              </w:rPr>
              <w:t>RFB Section</w:t>
            </w:r>
          </w:p>
        </w:tc>
        <w:tc>
          <w:tcPr>
            <w:tcW w:w="1350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6C10F4D6" w14:textId="77777777" w:rsidR="00F60022" w:rsidRPr="008718AC" w:rsidRDefault="00F60022" w:rsidP="007A163C">
            <w:pPr>
              <w:rPr>
                <w:rFonts w:ascii="Arial" w:hAnsi="Arial" w:cs="Arial"/>
                <w:color w:val="FFFFFF" w:themeColor="background1"/>
                <w:szCs w:val="21"/>
              </w:rPr>
            </w:pPr>
            <w:r w:rsidRPr="008718AC">
              <w:rPr>
                <w:rFonts w:ascii="Arial" w:hAnsi="Arial" w:cs="Arial"/>
                <w:color w:val="FFFFFF" w:themeColor="background1"/>
                <w:szCs w:val="21"/>
              </w:rPr>
              <w:t>RFB Page</w:t>
            </w:r>
          </w:p>
        </w:tc>
        <w:tc>
          <w:tcPr>
            <w:tcW w:w="5301" w:type="dxa"/>
            <w:tcBorders>
              <w:bottom w:val="single" w:sz="4" w:space="0" w:color="FFFFFF"/>
            </w:tcBorders>
            <w:shd w:val="clear" w:color="auto" w:fill="44546A" w:themeFill="text2"/>
          </w:tcPr>
          <w:p w14:paraId="618D969F" w14:textId="77777777" w:rsidR="00F60022" w:rsidRPr="008718AC" w:rsidRDefault="00F60022" w:rsidP="007A163C">
            <w:pPr>
              <w:rPr>
                <w:rFonts w:ascii="Arial" w:hAnsi="Arial" w:cs="Arial"/>
                <w:color w:val="FFFFFF" w:themeColor="background1"/>
                <w:szCs w:val="21"/>
              </w:rPr>
            </w:pPr>
            <w:r w:rsidRPr="008718AC">
              <w:rPr>
                <w:rFonts w:ascii="Arial" w:hAnsi="Arial" w:cs="Arial"/>
                <w:color w:val="FFFFFF" w:themeColor="background1"/>
                <w:szCs w:val="21"/>
              </w:rPr>
              <w:t>Question</w:t>
            </w:r>
          </w:p>
        </w:tc>
      </w:tr>
      <w:tr w:rsidR="00F60022" w14:paraId="7403591C" w14:textId="77777777" w:rsidTr="007A163C">
        <w:trPr>
          <w:jc w:val="left"/>
        </w:trPr>
        <w:tc>
          <w:tcPr>
            <w:tcW w:w="612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78040B74" w14:textId="77777777" w:rsidR="00F60022" w:rsidRDefault="00F60022" w:rsidP="007A163C">
            <w:pPr>
              <w:jc w:val="both"/>
            </w:pPr>
            <w:r>
              <w:t>Q1</w:t>
            </w:r>
          </w:p>
        </w:tc>
        <w:tc>
          <w:tcPr>
            <w:tcW w:w="1818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4E384E76" w14:textId="77777777" w:rsidR="00F60022" w:rsidRDefault="00F60022" w:rsidP="007A163C">
            <w:pPr>
              <w:jc w:val="both"/>
            </w:pPr>
            <w:r>
              <w:t>2.3.6</w:t>
            </w:r>
          </w:p>
        </w:tc>
        <w:tc>
          <w:tcPr>
            <w:tcW w:w="1350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6126DF4E" w14:textId="77777777" w:rsidR="00F60022" w:rsidRDefault="00F60022" w:rsidP="007A163C">
            <w:pPr>
              <w:jc w:val="both"/>
            </w:pPr>
            <w:r>
              <w:t>22</w:t>
            </w:r>
          </w:p>
        </w:tc>
        <w:tc>
          <w:tcPr>
            <w:tcW w:w="5301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2B519665" w14:textId="77777777" w:rsidR="00F60022" w:rsidRDefault="00F60022" w:rsidP="007A163C">
            <w:pPr>
              <w:jc w:val="both"/>
            </w:pPr>
            <w:r>
              <w:t>Does the auditor prepare the financial statements?</w:t>
            </w:r>
          </w:p>
        </w:tc>
      </w:tr>
      <w:tr w:rsidR="00F60022" w14:paraId="00DD7475" w14:textId="77777777" w:rsidTr="007A163C">
        <w:trPr>
          <w:jc w:val="left"/>
        </w:trPr>
        <w:tc>
          <w:tcPr>
            <w:tcW w:w="612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3F7E7EC2" w14:textId="77777777" w:rsidR="00F60022" w:rsidRDefault="00F60022" w:rsidP="007A163C">
            <w:pPr>
              <w:jc w:val="both"/>
            </w:pPr>
            <w:r>
              <w:t>A1</w:t>
            </w:r>
          </w:p>
        </w:tc>
        <w:tc>
          <w:tcPr>
            <w:tcW w:w="1818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14:paraId="72D1AE6B" w14:textId="77777777" w:rsidR="00F60022" w:rsidRPr="002B68CF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1350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14:paraId="711D25D2" w14:textId="77777777" w:rsidR="00F60022" w:rsidRPr="002B68CF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5301" w:type="dxa"/>
            <w:tcBorders>
              <w:bottom w:val="single" w:sz="4" w:space="0" w:color="FFFFFF"/>
            </w:tcBorders>
            <w:shd w:val="clear" w:color="auto" w:fill="D9D9D9" w:themeFill="background1" w:themeFillShade="D9"/>
          </w:tcPr>
          <w:p w14:paraId="0640D950" w14:textId="6579C820" w:rsidR="00F60022" w:rsidRPr="00D8282C" w:rsidRDefault="00271C72" w:rsidP="00B21479">
            <w:pPr>
              <w:jc w:val="left"/>
              <w:rPr>
                <w:b/>
                <w:color w:val="FF0000"/>
              </w:rPr>
            </w:pPr>
            <w:r w:rsidRPr="00D8282C">
              <w:rPr>
                <w:b/>
                <w:color w:val="000000" w:themeColor="text1"/>
              </w:rPr>
              <w:t xml:space="preserve">Yes. </w:t>
            </w:r>
            <w:r w:rsidR="00B21479" w:rsidRPr="00D8282C">
              <w:rPr>
                <w:b/>
                <w:color w:val="000000" w:themeColor="text1"/>
              </w:rPr>
              <w:t>The financial statements that appear in the report are verified and formatted by the auditing firm.</w:t>
            </w:r>
          </w:p>
        </w:tc>
      </w:tr>
      <w:tr w:rsidR="00F60022" w14:paraId="134FA05E" w14:textId="77777777" w:rsidTr="007A163C">
        <w:trPr>
          <w:jc w:val="left"/>
        </w:trPr>
        <w:tc>
          <w:tcPr>
            <w:tcW w:w="612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4AC96E4A" w14:textId="77777777" w:rsidR="00F60022" w:rsidRDefault="00F60022" w:rsidP="007A163C">
            <w:pPr>
              <w:jc w:val="both"/>
            </w:pPr>
            <w:r>
              <w:t>Q2</w:t>
            </w:r>
          </w:p>
        </w:tc>
        <w:tc>
          <w:tcPr>
            <w:tcW w:w="1818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2C98F928" w14:textId="77777777" w:rsidR="00F60022" w:rsidRDefault="00F60022" w:rsidP="007A163C">
            <w:pPr>
              <w:jc w:val="both"/>
            </w:pPr>
            <w:r>
              <w:t>1.1.1</w:t>
            </w:r>
          </w:p>
        </w:tc>
        <w:tc>
          <w:tcPr>
            <w:tcW w:w="1350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039B4488" w14:textId="77777777" w:rsidR="00F60022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  <w:tcBorders>
              <w:bottom w:val="single" w:sz="4" w:space="0" w:color="FFFFFF"/>
            </w:tcBorders>
            <w:shd w:val="clear" w:color="auto" w:fill="D5DCE4" w:themeFill="text2" w:themeFillTint="33"/>
          </w:tcPr>
          <w:p w14:paraId="76A0D671" w14:textId="77777777" w:rsidR="00F60022" w:rsidRDefault="00F60022" w:rsidP="007A163C">
            <w:pPr>
              <w:jc w:val="both"/>
            </w:pPr>
            <w:r>
              <w:t>Is the current firm allowed to rebid?</w:t>
            </w:r>
          </w:p>
        </w:tc>
      </w:tr>
      <w:tr w:rsidR="00F60022" w14:paraId="4301CD6C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70C7FE9A" w14:textId="77777777" w:rsidR="00F60022" w:rsidRDefault="00F60022" w:rsidP="007A163C">
            <w:pPr>
              <w:jc w:val="both"/>
            </w:pPr>
            <w:r>
              <w:t>A2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37F4C96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05A9ED0A" w14:textId="77777777" w:rsidR="00F60022" w:rsidRDefault="00F60022" w:rsidP="007A163C">
            <w:pPr>
              <w:jc w:val="both"/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62F7443D" w14:textId="77777777" w:rsidR="00F60022" w:rsidRPr="00D8282C" w:rsidRDefault="00F60022" w:rsidP="007A163C">
            <w:pPr>
              <w:jc w:val="both"/>
              <w:rPr>
                <w:b/>
              </w:rPr>
            </w:pPr>
            <w:r w:rsidRPr="00D8282C">
              <w:rPr>
                <w:b/>
                <w:color w:val="000000" w:themeColor="text1"/>
              </w:rPr>
              <w:t>Yes.</w:t>
            </w:r>
          </w:p>
        </w:tc>
      </w:tr>
      <w:tr w:rsidR="00F60022" w14:paraId="22D966C4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37328C57" w14:textId="77777777" w:rsidR="00F60022" w:rsidRDefault="00F60022" w:rsidP="007A163C">
            <w:pPr>
              <w:jc w:val="both"/>
            </w:pPr>
            <w:r>
              <w:t>Q3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93EB2DC" w14:textId="77777777" w:rsidR="00F60022" w:rsidRDefault="00F60022" w:rsidP="007A163C">
            <w:pPr>
              <w:jc w:val="both"/>
            </w:pPr>
            <w:r>
              <w:t>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5605FD0" w14:textId="77777777" w:rsidR="00F60022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14:paraId="3D4889C0" w14:textId="77777777" w:rsidR="00F60022" w:rsidRDefault="00F60022" w:rsidP="007A163C">
            <w:pPr>
              <w:jc w:val="both"/>
            </w:pPr>
            <w:r>
              <w:t>What have your audit fees been for the past 2 years?</w:t>
            </w:r>
          </w:p>
        </w:tc>
      </w:tr>
      <w:tr w:rsidR="00F60022" w14:paraId="2FB48D16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094822C8" w14:textId="77777777" w:rsidR="00F60022" w:rsidRDefault="00F60022" w:rsidP="007A163C">
            <w:pPr>
              <w:jc w:val="both"/>
            </w:pPr>
            <w:r>
              <w:t>A3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F6B0143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71C406E" w14:textId="77777777" w:rsidR="00F60022" w:rsidRDefault="00F60022" w:rsidP="007A163C">
            <w:pPr>
              <w:jc w:val="both"/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51E094AD" w14:textId="77777777" w:rsidR="00F60022" w:rsidRPr="00D8282C" w:rsidRDefault="00F60022" w:rsidP="006E56ED">
            <w:pPr>
              <w:jc w:val="left"/>
              <w:rPr>
                <w:b/>
              </w:rPr>
            </w:pPr>
            <w:r w:rsidRPr="00D8282C">
              <w:rPr>
                <w:b/>
                <w:color w:val="000000" w:themeColor="text1"/>
              </w:rPr>
              <w:t>$</w:t>
            </w:r>
            <w:r w:rsidR="006E56ED" w:rsidRPr="00D8282C">
              <w:rPr>
                <w:b/>
                <w:color w:val="000000" w:themeColor="text1"/>
              </w:rPr>
              <w:t>31,000</w:t>
            </w:r>
            <w:r w:rsidRPr="00D8282C">
              <w:rPr>
                <w:b/>
                <w:color w:val="000000" w:themeColor="text1"/>
              </w:rPr>
              <w:t xml:space="preserve"> </w:t>
            </w:r>
            <w:r w:rsidR="00DD6B4F" w:rsidRPr="00D8282C">
              <w:rPr>
                <w:b/>
                <w:color w:val="000000" w:themeColor="text1"/>
              </w:rPr>
              <w:t>for Audi</w:t>
            </w:r>
            <w:r w:rsidR="006E56ED" w:rsidRPr="00D8282C">
              <w:rPr>
                <w:b/>
                <w:color w:val="000000" w:themeColor="text1"/>
              </w:rPr>
              <w:t>t of Calendar Year 2013 and $31,500</w:t>
            </w:r>
            <w:r w:rsidR="00DD6B4F" w:rsidRPr="00D8282C">
              <w:rPr>
                <w:b/>
                <w:color w:val="000000" w:themeColor="text1"/>
              </w:rPr>
              <w:t xml:space="preserve"> for Calendar Year 2012.</w:t>
            </w:r>
          </w:p>
        </w:tc>
      </w:tr>
      <w:tr w:rsidR="00F60022" w14:paraId="1DC1F6F3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3C954F79" w14:textId="77777777" w:rsidR="00F60022" w:rsidRDefault="00F60022" w:rsidP="007A163C">
            <w:pPr>
              <w:jc w:val="both"/>
            </w:pPr>
            <w:r>
              <w:t>Q4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47169D90" w14:textId="77777777" w:rsidR="00F60022" w:rsidRDefault="00F60022" w:rsidP="007A163C">
            <w:pPr>
              <w:jc w:val="both"/>
            </w:pPr>
            <w:r>
              <w:t>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9A77787" w14:textId="77777777" w:rsidR="00F60022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14:paraId="38A14432" w14:textId="77777777" w:rsidR="00F60022" w:rsidRDefault="00F60022" w:rsidP="007A163C">
            <w:pPr>
              <w:jc w:val="both"/>
            </w:pPr>
            <w:r>
              <w:t>Can you please make available your audited financial statements for the 2012 and 2013 calendar years?  The link provided on page 2 did not contain the attachment, which should have been the financial statement draft for 2013.</w:t>
            </w:r>
          </w:p>
        </w:tc>
      </w:tr>
      <w:tr w:rsidR="00F60022" w14:paraId="5C405D38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352B9860" w14:textId="77777777" w:rsidR="00F60022" w:rsidRDefault="00F60022" w:rsidP="007A163C">
            <w:pPr>
              <w:jc w:val="both"/>
            </w:pPr>
            <w:r>
              <w:t>A4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64817B61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66736A4" w14:textId="77777777" w:rsidR="00F60022" w:rsidRPr="0064477F" w:rsidRDefault="00F60022" w:rsidP="007A163C">
            <w:pPr>
              <w:jc w:val="both"/>
              <w:rPr>
                <w:color w:val="FF0000"/>
              </w:rPr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50A81BD3" w14:textId="77777777" w:rsidR="00F60022" w:rsidRPr="00D8282C" w:rsidRDefault="00982AE2" w:rsidP="00811F5E">
            <w:pPr>
              <w:jc w:val="left"/>
              <w:rPr>
                <w:b/>
                <w:color w:val="FF0000"/>
              </w:rPr>
            </w:pPr>
            <w:r w:rsidRPr="00D8282C">
              <w:rPr>
                <w:b/>
                <w:color w:val="000000" w:themeColor="text1"/>
              </w:rPr>
              <w:t xml:space="preserve">Our apologies. </w:t>
            </w:r>
            <w:r w:rsidR="00811F5E" w:rsidRPr="00D8282C">
              <w:rPr>
                <w:b/>
                <w:color w:val="000000" w:themeColor="text1"/>
              </w:rPr>
              <w:t>The 2013 draft may</w:t>
            </w:r>
            <w:r w:rsidR="0064477F" w:rsidRPr="00D8282C">
              <w:rPr>
                <w:b/>
                <w:color w:val="000000" w:themeColor="text1"/>
              </w:rPr>
              <w:t xml:space="preserve"> be found on the Board’s meeting materials website at </w:t>
            </w:r>
            <w:hyperlink r:id="rId5" w:history="1">
              <w:r w:rsidR="0064477F" w:rsidRPr="00D8282C">
                <w:rPr>
                  <w:rStyle w:val="Hyperlink"/>
                  <w:b/>
                  <w:color w:val="000000" w:themeColor="text1"/>
                </w:rPr>
                <w:t>http://etf.wi.gov/boards/agenda-items-2014/dc0603/item3r.pdf</w:t>
              </w:r>
            </w:hyperlink>
            <w:r w:rsidR="0064477F" w:rsidRPr="00D8282C">
              <w:rPr>
                <w:b/>
                <w:color w:val="000000" w:themeColor="text1"/>
              </w:rPr>
              <w:t xml:space="preserve"> </w:t>
            </w:r>
          </w:p>
        </w:tc>
      </w:tr>
      <w:tr w:rsidR="00F60022" w14:paraId="12E03757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2C4518F1" w14:textId="77777777" w:rsidR="00F60022" w:rsidRDefault="00F60022" w:rsidP="007A163C">
            <w:pPr>
              <w:jc w:val="both"/>
            </w:pPr>
            <w:r>
              <w:t>Q5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71DAA918" w14:textId="77777777" w:rsidR="00F60022" w:rsidRDefault="00F60022" w:rsidP="007A163C">
            <w:pPr>
              <w:jc w:val="both"/>
            </w:pPr>
            <w:r>
              <w:t>2.3.1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C95EBDC" w14:textId="77777777" w:rsidR="00F60022" w:rsidRDefault="00F60022" w:rsidP="007A163C">
            <w:pPr>
              <w:jc w:val="both"/>
            </w:pPr>
            <w:r>
              <w:t>23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14:paraId="4E8657B9" w14:textId="77777777" w:rsidR="00F60022" w:rsidRDefault="00F60022" w:rsidP="007A163C">
            <w:pPr>
              <w:jc w:val="both"/>
            </w:pPr>
            <w:r>
              <w:t>Have prior audits successfully run according to the project timeline set forth at 2.3.1?  If not, what is going to change to ensure that this timeline is adhered to?</w:t>
            </w:r>
          </w:p>
        </w:tc>
      </w:tr>
      <w:tr w:rsidR="00F60022" w14:paraId="6267CE96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3EB7C3FF" w14:textId="77777777" w:rsidR="00F60022" w:rsidRDefault="00F60022" w:rsidP="007A163C">
            <w:pPr>
              <w:jc w:val="both"/>
            </w:pPr>
            <w:r>
              <w:t>A5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AE6DABD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5625AFA" w14:textId="77777777" w:rsidR="00F60022" w:rsidRDefault="00F60022" w:rsidP="007A163C">
            <w:pPr>
              <w:jc w:val="both"/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59490C40" w14:textId="77777777" w:rsidR="00F60022" w:rsidRPr="00D8282C" w:rsidRDefault="0064477F" w:rsidP="0064477F">
            <w:pPr>
              <w:jc w:val="left"/>
              <w:rPr>
                <w:b/>
              </w:rPr>
            </w:pPr>
            <w:r w:rsidRPr="00D8282C">
              <w:rPr>
                <w:b/>
                <w:color w:val="000000" w:themeColor="text1"/>
              </w:rPr>
              <w:t>Yes, previous audits have been completed according to the timeframe provided. Essentially, the vendor provides the final draft for Board acceptance and approval at the Board’s late spring/early summer meeting.</w:t>
            </w:r>
          </w:p>
        </w:tc>
      </w:tr>
      <w:tr w:rsidR="00F60022" w14:paraId="16B0F16E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436D3A71" w14:textId="77777777" w:rsidR="00F60022" w:rsidRDefault="00F60022" w:rsidP="007A163C">
            <w:pPr>
              <w:jc w:val="both"/>
            </w:pPr>
            <w:r>
              <w:t>Q6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067D4BF" w14:textId="77777777" w:rsidR="00F60022" w:rsidRDefault="00F60022" w:rsidP="007A163C">
            <w:pPr>
              <w:jc w:val="both"/>
            </w:pPr>
            <w:r>
              <w:t>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A59791B" w14:textId="77777777" w:rsidR="00F60022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14:paraId="1587D2DC" w14:textId="77777777" w:rsidR="00F60022" w:rsidRDefault="00F60022" w:rsidP="007A163C">
            <w:pPr>
              <w:jc w:val="both"/>
            </w:pPr>
            <w:r>
              <w:t>Have there been any audit adjustments proposed in the past two years?  If so, what is the nature of the adjustment(s)?</w:t>
            </w:r>
          </w:p>
        </w:tc>
      </w:tr>
      <w:tr w:rsidR="00F60022" w14:paraId="078E3266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1D2AC295" w14:textId="77777777" w:rsidR="00F60022" w:rsidRDefault="00F60022" w:rsidP="007A163C">
            <w:pPr>
              <w:jc w:val="both"/>
            </w:pPr>
            <w:r>
              <w:t>A6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0C779BC2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639F1BD8" w14:textId="77777777" w:rsidR="00F60022" w:rsidRDefault="00F60022" w:rsidP="007A163C">
            <w:pPr>
              <w:jc w:val="both"/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69FC1A6A" w14:textId="77777777" w:rsidR="00F60022" w:rsidRPr="00D8282C" w:rsidRDefault="00A840FE" w:rsidP="00093F02">
            <w:pPr>
              <w:jc w:val="left"/>
              <w:rPr>
                <w:b/>
                <w:color w:val="FF0000"/>
              </w:rPr>
            </w:pPr>
            <w:r w:rsidRPr="00D8282C">
              <w:rPr>
                <w:b/>
                <w:color w:val="000000" w:themeColor="text1"/>
              </w:rPr>
              <w:t>No, no adjustments have been proposed.</w:t>
            </w:r>
          </w:p>
        </w:tc>
      </w:tr>
      <w:tr w:rsidR="00F60022" w14:paraId="135CC03E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75301704" w14:textId="77777777" w:rsidR="00F60022" w:rsidRDefault="00F60022" w:rsidP="007A163C">
            <w:pPr>
              <w:jc w:val="both"/>
            </w:pPr>
            <w:r>
              <w:t>Q7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50EFFBD9" w14:textId="77777777" w:rsidR="00F60022" w:rsidRDefault="00F60022" w:rsidP="007A163C">
            <w:pPr>
              <w:jc w:val="both"/>
            </w:pPr>
            <w:r>
              <w:t>1.1.10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19D965D" w14:textId="77777777" w:rsidR="00F60022" w:rsidRDefault="00F60022" w:rsidP="007A163C">
            <w:pPr>
              <w:jc w:val="both"/>
            </w:pPr>
            <w:r>
              <w:t>7</w:t>
            </w:r>
          </w:p>
        </w:tc>
        <w:tc>
          <w:tcPr>
            <w:tcW w:w="5301" w:type="dxa"/>
            <w:shd w:val="clear" w:color="auto" w:fill="D9D9D9" w:themeFill="background1" w:themeFillShade="D9"/>
          </w:tcPr>
          <w:p w14:paraId="359E4228" w14:textId="77777777" w:rsidR="00F60022" w:rsidRDefault="00F60022" w:rsidP="007A163C">
            <w:pPr>
              <w:jc w:val="both"/>
            </w:pPr>
            <w:r>
              <w:t>Which other firms have expressed an interest in bidding on this audit?</w:t>
            </w:r>
          </w:p>
        </w:tc>
      </w:tr>
      <w:tr w:rsidR="00F60022" w14:paraId="1FAF3BAC" w14:textId="77777777" w:rsidTr="007A163C">
        <w:trPr>
          <w:jc w:val="left"/>
        </w:trPr>
        <w:tc>
          <w:tcPr>
            <w:tcW w:w="612" w:type="dxa"/>
            <w:shd w:val="clear" w:color="auto" w:fill="D5DCE4" w:themeFill="text2" w:themeFillTint="33"/>
          </w:tcPr>
          <w:p w14:paraId="6847B77A" w14:textId="77777777" w:rsidR="00F60022" w:rsidRDefault="00F60022" w:rsidP="007A163C">
            <w:pPr>
              <w:jc w:val="both"/>
            </w:pPr>
            <w:r>
              <w:t>A7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2256C2ED" w14:textId="77777777" w:rsidR="00F60022" w:rsidRDefault="00F60022" w:rsidP="007A163C">
            <w:pPr>
              <w:jc w:val="both"/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7580BE62" w14:textId="77777777" w:rsidR="00F60022" w:rsidRDefault="00F60022" w:rsidP="007A163C">
            <w:pPr>
              <w:jc w:val="both"/>
            </w:pPr>
          </w:p>
        </w:tc>
        <w:tc>
          <w:tcPr>
            <w:tcW w:w="5301" w:type="dxa"/>
            <w:shd w:val="clear" w:color="auto" w:fill="D9D9D9" w:themeFill="background1" w:themeFillShade="D9"/>
          </w:tcPr>
          <w:p w14:paraId="6714AFF5" w14:textId="77777777" w:rsidR="00F60022" w:rsidRPr="00D8282C" w:rsidRDefault="00F60022" w:rsidP="00093F02">
            <w:pPr>
              <w:jc w:val="left"/>
              <w:rPr>
                <w:b/>
                <w:color w:val="000000" w:themeColor="text1"/>
              </w:rPr>
            </w:pPr>
            <w:r w:rsidRPr="00D8282C">
              <w:rPr>
                <w:b/>
                <w:color w:val="000000" w:themeColor="text1"/>
              </w:rPr>
              <w:t xml:space="preserve">That information is confidential until </w:t>
            </w:r>
            <w:r w:rsidR="002E2B0D" w:rsidRPr="00D8282C">
              <w:rPr>
                <w:b/>
                <w:color w:val="000000" w:themeColor="text1"/>
              </w:rPr>
              <w:t xml:space="preserve">the Board announces its intent to </w:t>
            </w:r>
            <w:r w:rsidRPr="00D8282C">
              <w:rPr>
                <w:b/>
                <w:color w:val="000000" w:themeColor="text1"/>
              </w:rPr>
              <w:t>award</w:t>
            </w:r>
            <w:r w:rsidR="002E2B0D" w:rsidRPr="00D8282C">
              <w:rPr>
                <w:b/>
                <w:color w:val="000000" w:themeColor="text1"/>
              </w:rPr>
              <w:t xml:space="preserve"> the contract</w:t>
            </w:r>
            <w:r w:rsidRPr="00D8282C">
              <w:rPr>
                <w:b/>
                <w:color w:val="000000" w:themeColor="text1"/>
              </w:rPr>
              <w:t>.</w:t>
            </w:r>
          </w:p>
        </w:tc>
      </w:tr>
      <w:tr w:rsidR="00F60022" w:rsidRPr="009C396E" w14:paraId="74AF9FF6" w14:textId="77777777" w:rsidTr="007A163C">
        <w:trPr>
          <w:jc w:val="left"/>
        </w:trPr>
        <w:tc>
          <w:tcPr>
            <w:tcW w:w="612" w:type="dxa"/>
          </w:tcPr>
          <w:p w14:paraId="2090FE04" w14:textId="52B2BD38" w:rsidR="00F60022" w:rsidRPr="009C396E" w:rsidRDefault="00A246FC" w:rsidP="007A163C">
            <w:pPr>
              <w:jc w:val="both"/>
            </w:pPr>
            <w:r>
              <w:t>Q8</w:t>
            </w:r>
          </w:p>
        </w:tc>
        <w:tc>
          <w:tcPr>
            <w:tcW w:w="1818" w:type="dxa"/>
          </w:tcPr>
          <w:p w14:paraId="756DB2B2" w14:textId="77777777" w:rsidR="00F60022" w:rsidRPr="009C396E" w:rsidRDefault="00F60022" w:rsidP="007A163C">
            <w:pPr>
              <w:jc w:val="both"/>
            </w:pPr>
            <w:r>
              <w:t>1.1.10</w:t>
            </w:r>
          </w:p>
        </w:tc>
        <w:tc>
          <w:tcPr>
            <w:tcW w:w="1350" w:type="dxa"/>
          </w:tcPr>
          <w:p w14:paraId="0C6D4F4D" w14:textId="77777777" w:rsidR="00F60022" w:rsidRPr="009C396E" w:rsidRDefault="00F60022" w:rsidP="007A163C">
            <w:pPr>
              <w:jc w:val="both"/>
            </w:pPr>
            <w:r>
              <w:t>7</w:t>
            </w:r>
          </w:p>
        </w:tc>
        <w:tc>
          <w:tcPr>
            <w:tcW w:w="5301" w:type="dxa"/>
          </w:tcPr>
          <w:p w14:paraId="58880188" w14:textId="77777777" w:rsidR="00F60022" w:rsidRPr="009C396E" w:rsidRDefault="00F60022" w:rsidP="007A163C">
            <w:pPr>
              <w:jc w:val="both"/>
            </w:pPr>
            <w:r>
              <w:t>May we receive a list of all the respondent letters of intent?</w:t>
            </w:r>
          </w:p>
        </w:tc>
      </w:tr>
      <w:tr w:rsidR="00F60022" w:rsidRPr="009C396E" w14:paraId="75FD66E4" w14:textId="77777777" w:rsidTr="007A163C">
        <w:trPr>
          <w:jc w:val="left"/>
        </w:trPr>
        <w:tc>
          <w:tcPr>
            <w:tcW w:w="612" w:type="dxa"/>
          </w:tcPr>
          <w:p w14:paraId="10988D3E" w14:textId="02658AA7" w:rsidR="00F60022" w:rsidRPr="009C396E" w:rsidRDefault="00A246FC" w:rsidP="007A163C">
            <w:pPr>
              <w:jc w:val="both"/>
            </w:pPr>
            <w:r>
              <w:t>A8</w:t>
            </w:r>
          </w:p>
        </w:tc>
        <w:tc>
          <w:tcPr>
            <w:tcW w:w="1818" w:type="dxa"/>
          </w:tcPr>
          <w:p w14:paraId="476F3427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1350" w:type="dxa"/>
          </w:tcPr>
          <w:p w14:paraId="10309197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5301" w:type="dxa"/>
          </w:tcPr>
          <w:p w14:paraId="324E0408" w14:textId="77A23491" w:rsidR="00F60022" w:rsidRPr="00D8282C" w:rsidRDefault="00093F02" w:rsidP="00093F02">
            <w:pPr>
              <w:jc w:val="left"/>
              <w:rPr>
                <w:b/>
              </w:rPr>
            </w:pPr>
            <w:r w:rsidRPr="00D8282C">
              <w:rPr>
                <w:b/>
                <w:color w:val="000000" w:themeColor="text1"/>
              </w:rPr>
              <w:t>That information is confidential until the Board announces its intent to award the contract</w:t>
            </w:r>
            <w:r w:rsidR="00D8282C" w:rsidRPr="00D8282C">
              <w:rPr>
                <w:b/>
                <w:color w:val="000000" w:themeColor="text1"/>
              </w:rPr>
              <w:t>.</w:t>
            </w:r>
          </w:p>
        </w:tc>
      </w:tr>
      <w:tr w:rsidR="00F60022" w:rsidRPr="0005084E" w14:paraId="35E68F4F" w14:textId="77777777" w:rsidTr="007A163C">
        <w:trPr>
          <w:jc w:val="left"/>
        </w:trPr>
        <w:tc>
          <w:tcPr>
            <w:tcW w:w="612" w:type="dxa"/>
          </w:tcPr>
          <w:p w14:paraId="15613DAE" w14:textId="5EF2F524" w:rsidR="00F60022" w:rsidRPr="009C396E" w:rsidRDefault="00A246FC" w:rsidP="007A163C">
            <w:pPr>
              <w:jc w:val="both"/>
            </w:pPr>
            <w:r>
              <w:t>Q9</w:t>
            </w:r>
          </w:p>
        </w:tc>
        <w:tc>
          <w:tcPr>
            <w:tcW w:w="1818" w:type="dxa"/>
          </w:tcPr>
          <w:p w14:paraId="4E87F1A2" w14:textId="77777777" w:rsidR="00F60022" w:rsidRPr="009C396E" w:rsidRDefault="00F60022" w:rsidP="007A163C">
            <w:pPr>
              <w:jc w:val="both"/>
            </w:pPr>
            <w:r>
              <w:t>1.2.3.</w:t>
            </w:r>
          </w:p>
        </w:tc>
        <w:tc>
          <w:tcPr>
            <w:tcW w:w="1350" w:type="dxa"/>
          </w:tcPr>
          <w:p w14:paraId="504DC13F" w14:textId="77777777" w:rsidR="00F60022" w:rsidRPr="009C396E" w:rsidRDefault="00F60022" w:rsidP="007A163C">
            <w:pPr>
              <w:jc w:val="both"/>
            </w:pPr>
            <w:r>
              <w:t>8</w:t>
            </w:r>
          </w:p>
        </w:tc>
        <w:tc>
          <w:tcPr>
            <w:tcW w:w="5301" w:type="dxa"/>
          </w:tcPr>
          <w:p w14:paraId="51FB6F38" w14:textId="77777777" w:rsidR="00F60022" w:rsidRPr="0005084E" w:rsidRDefault="00F60022" w:rsidP="007A163C">
            <w:pPr>
              <w:jc w:val="both"/>
            </w:pPr>
            <w:r>
              <w:rPr>
                <w:bCs/>
              </w:rPr>
              <w:t xml:space="preserve">If our proposal does not contain any </w:t>
            </w:r>
            <w:r w:rsidRPr="0005084E">
              <w:rPr>
                <w:bCs/>
              </w:rPr>
              <w:t xml:space="preserve">confidential material </w:t>
            </w:r>
            <w:r>
              <w:rPr>
                <w:bCs/>
              </w:rPr>
              <w:t xml:space="preserve">to be </w:t>
            </w:r>
            <w:r w:rsidRPr="0005084E">
              <w:rPr>
                <w:bCs/>
              </w:rPr>
              <w:t>redacted</w:t>
            </w:r>
            <w:r>
              <w:rPr>
                <w:bCs/>
              </w:rPr>
              <w:t>, do we still have to provide 2 additional flash drives and Appendix C</w:t>
            </w:r>
          </w:p>
        </w:tc>
      </w:tr>
      <w:tr w:rsidR="00F60022" w:rsidRPr="009C396E" w14:paraId="216458DC" w14:textId="77777777" w:rsidTr="007A163C">
        <w:trPr>
          <w:jc w:val="left"/>
        </w:trPr>
        <w:tc>
          <w:tcPr>
            <w:tcW w:w="612" w:type="dxa"/>
          </w:tcPr>
          <w:p w14:paraId="6914ACFA" w14:textId="5FFA69C0" w:rsidR="00F60022" w:rsidRPr="009C396E" w:rsidRDefault="00A246FC" w:rsidP="007A163C">
            <w:pPr>
              <w:jc w:val="both"/>
            </w:pPr>
            <w:r>
              <w:t>A9</w:t>
            </w:r>
          </w:p>
        </w:tc>
        <w:tc>
          <w:tcPr>
            <w:tcW w:w="1818" w:type="dxa"/>
          </w:tcPr>
          <w:p w14:paraId="593CE682" w14:textId="77777777" w:rsidR="00F60022" w:rsidRPr="009C396E" w:rsidRDefault="00F60022" w:rsidP="007A163C">
            <w:pPr>
              <w:jc w:val="both"/>
            </w:pPr>
          </w:p>
        </w:tc>
        <w:tc>
          <w:tcPr>
            <w:tcW w:w="1350" w:type="dxa"/>
          </w:tcPr>
          <w:p w14:paraId="1063F474" w14:textId="77777777" w:rsidR="00F60022" w:rsidRPr="009C396E" w:rsidRDefault="00F60022" w:rsidP="007A163C">
            <w:pPr>
              <w:jc w:val="both"/>
            </w:pPr>
          </w:p>
        </w:tc>
        <w:tc>
          <w:tcPr>
            <w:tcW w:w="5301" w:type="dxa"/>
          </w:tcPr>
          <w:p w14:paraId="65A5B6D8" w14:textId="77777777" w:rsidR="00F60022" w:rsidRPr="00D8282C" w:rsidRDefault="00F60022" w:rsidP="007A163C">
            <w:pPr>
              <w:jc w:val="both"/>
              <w:rPr>
                <w:b/>
              </w:rPr>
            </w:pPr>
            <w:r w:rsidRPr="00D8282C">
              <w:rPr>
                <w:b/>
                <w:color w:val="000000" w:themeColor="text1"/>
              </w:rPr>
              <w:t xml:space="preserve">You need not provide the “Redacted for Confidentiality” flash drives if you don’t have any confidential materials in your bid response. You must, however, still complete Appendix C as part of your bid response and note there that you have no confidential materials in your bid response. </w:t>
            </w:r>
          </w:p>
        </w:tc>
      </w:tr>
      <w:tr w:rsidR="00F60022" w:rsidRPr="009C396E" w14:paraId="4CE8C2F6" w14:textId="77777777" w:rsidTr="007A163C">
        <w:trPr>
          <w:jc w:val="left"/>
        </w:trPr>
        <w:tc>
          <w:tcPr>
            <w:tcW w:w="612" w:type="dxa"/>
          </w:tcPr>
          <w:p w14:paraId="21B1A1FA" w14:textId="39C6DD7A" w:rsidR="00F60022" w:rsidRPr="009C396E" w:rsidRDefault="00F60022" w:rsidP="007A163C">
            <w:pPr>
              <w:jc w:val="both"/>
            </w:pPr>
            <w:r w:rsidRPr="009C396E">
              <w:lastRenderedPageBreak/>
              <w:t>Q</w:t>
            </w:r>
            <w:r w:rsidR="00A246FC">
              <w:t>10</w:t>
            </w:r>
          </w:p>
        </w:tc>
        <w:tc>
          <w:tcPr>
            <w:tcW w:w="1818" w:type="dxa"/>
          </w:tcPr>
          <w:p w14:paraId="369FB42F" w14:textId="77777777" w:rsidR="00F60022" w:rsidRPr="009C396E" w:rsidRDefault="00F60022" w:rsidP="007A163C">
            <w:pPr>
              <w:jc w:val="both"/>
            </w:pPr>
            <w:r>
              <w:t>1.1.2 &amp; 1.1.3</w:t>
            </w:r>
          </w:p>
        </w:tc>
        <w:tc>
          <w:tcPr>
            <w:tcW w:w="1350" w:type="dxa"/>
          </w:tcPr>
          <w:p w14:paraId="27D04A0A" w14:textId="77777777" w:rsidR="00F60022" w:rsidRPr="009C396E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</w:tcPr>
          <w:p w14:paraId="7CB528BD" w14:textId="77777777" w:rsidR="00F60022" w:rsidRPr="009C396E" w:rsidRDefault="00F60022" w:rsidP="007A163C">
            <w:pPr>
              <w:jc w:val="both"/>
            </w:pPr>
            <w:r>
              <w:t>Does Department receive any SSAE 16s from the Trustees and/or the Plan Administrator</w:t>
            </w:r>
          </w:p>
        </w:tc>
      </w:tr>
      <w:tr w:rsidR="00F60022" w:rsidRPr="009C396E" w14:paraId="39718073" w14:textId="77777777" w:rsidTr="007A163C">
        <w:trPr>
          <w:jc w:val="left"/>
        </w:trPr>
        <w:tc>
          <w:tcPr>
            <w:tcW w:w="612" w:type="dxa"/>
          </w:tcPr>
          <w:p w14:paraId="188C2B37" w14:textId="22ACF8BF" w:rsidR="00F60022" w:rsidRPr="009C396E" w:rsidRDefault="00A246FC" w:rsidP="007A163C">
            <w:pPr>
              <w:jc w:val="both"/>
            </w:pPr>
            <w:r>
              <w:t>A10</w:t>
            </w:r>
          </w:p>
        </w:tc>
        <w:tc>
          <w:tcPr>
            <w:tcW w:w="1818" w:type="dxa"/>
          </w:tcPr>
          <w:p w14:paraId="54629A45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1350" w:type="dxa"/>
          </w:tcPr>
          <w:p w14:paraId="65C5393B" w14:textId="77777777" w:rsidR="00F60022" w:rsidRPr="009313CC" w:rsidRDefault="00F60022" w:rsidP="009313CC">
            <w:pPr>
              <w:jc w:val="left"/>
              <w:rPr>
                <w:color w:val="FF0000"/>
                <w:highlight w:val="lightGray"/>
              </w:rPr>
            </w:pPr>
          </w:p>
        </w:tc>
        <w:tc>
          <w:tcPr>
            <w:tcW w:w="5301" w:type="dxa"/>
          </w:tcPr>
          <w:p w14:paraId="5A31896A" w14:textId="77777777" w:rsidR="00F60022" w:rsidRPr="00D8282C" w:rsidRDefault="009313CC" w:rsidP="008A7087">
            <w:pPr>
              <w:jc w:val="left"/>
              <w:rPr>
                <w:b/>
                <w:color w:val="000000" w:themeColor="text1"/>
              </w:rPr>
            </w:pPr>
            <w:r w:rsidRPr="00D8282C">
              <w:rPr>
                <w:b/>
                <w:color w:val="000000" w:themeColor="text1"/>
              </w:rPr>
              <w:t xml:space="preserve">Yes, as required by contract, the plan administrator </w:t>
            </w:r>
            <w:r w:rsidR="00147B17" w:rsidRPr="00D8282C">
              <w:rPr>
                <w:b/>
                <w:color w:val="000000" w:themeColor="text1"/>
              </w:rPr>
              <w:t xml:space="preserve">provides the Department with </w:t>
            </w:r>
            <w:r w:rsidR="008A7087" w:rsidRPr="00D8282C">
              <w:rPr>
                <w:b/>
                <w:color w:val="000000" w:themeColor="text1"/>
              </w:rPr>
              <w:t>these</w:t>
            </w:r>
            <w:r w:rsidR="00147B17" w:rsidRPr="00D8282C">
              <w:rPr>
                <w:b/>
                <w:color w:val="000000" w:themeColor="text1"/>
              </w:rPr>
              <w:t xml:space="preserve"> reports</w:t>
            </w:r>
            <w:r w:rsidRPr="00D8282C">
              <w:rPr>
                <w:b/>
                <w:color w:val="000000" w:themeColor="text1"/>
              </w:rPr>
              <w:t>.</w:t>
            </w:r>
          </w:p>
        </w:tc>
      </w:tr>
      <w:tr w:rsidR="00F60022" w:rsidRPr="009C396E" w14:paraId="0520ED87" w14:textId="77777777" w:rsidTr="007A163C">
        <w:trPr>
          <w:jc w:val="left"/>
        </w:trPr>
        <w:tc>
          <w:tcPr>
            <w:tcW w:w="612" w:type="dxa"/>
          </w:tcPr>
          <w:p w14:paraId="5259868E" w14:textId="11742440" w:rsidR="00F60022" w:rsidRPr="009C396E" w:rsidRDefault="00F60022" w:rsidP="007A163C">
            <w:pPr>
              <w:jc w:val="both"/>
            </w:pPr>
            <w:r w:rsidRPr="009C396E">
              <w:t>Q</w:t>
            </w:r>
            <w:r w:rsidR="00A246FC">
              <w:t>11</w:t>
            </w:r>
          </w:p>
        </w:tc>
        <w:tc>
          <w:tcPr>
            <w:tcW w:w="1818" w:type="dxa"/>
          </w:tcPr>
          <w:p w14:paraId="4F8BDA10" w14:textId="77777777" w:rsidR="00F60022" w:rsidRPr="009C396E" w:rsidRDefault="00F60022" w:rsidP="007A163C">
            <w:pPr>
              <w:jc w:val="both"/>
            </w:pPr>
            <w:r>
              <w:t>1.1.4</w:t>
            </w:r>
          </w:p>
        </w:tc>
        <w:tc>
          <w:tcPr>
            <w:tcW w:w="1350" w:type="dxa"/>
          </w:tcPr>
          <w:p w14:paraId="433987E8" w14:textId="77777777" w:rsidR="00F60022" w:rsidRPr="009C396E" w:rsidRDefault="00F60022" w:rsidP="007A163C">
            <w:pPr>
              <w:jc w:val="both"/>
            </w:pPr>
            <w:r>
              <w:t>4</w:t>
            </w:r>
          </w:p>
        </w:tc>
        <w:tc>
          <w:tcPr>
            <w:tcW w:w="5301" w:type="dxa"/>
          </w:tcPr>
          <w:p w14:paraId="111F9EEF" w14:textId="77777777" w:rsidR="00F60022" w:rsidRPr="009C396E" w:rsidRDefault="00F60022" w:rsidP="007A163C">
            <w:pPr>
              <w:jc w:val="both"/>
            </w:pPr>
            <w:r>
              <w:t>Does the Department contact any benchmarking of participant and plan fees?</w:t>
            </w:r>
          </w:p>
        </w:tc>
      </w:tr>
      <w:tr w:rsidR="00F60022" w:rsidRPr="009C396E" w14:paraId="3F6B8736" w14:textId="77777777" w:rsidTr="007A163C">
        <w:trPr>
          <w:jc w:val="left"/>
        </w:trPr>
        <w:tc>
          <w:tcPr>
            <w:tcW w:w="612" w:type="dxa"/>
          </w:tcPr>
          <w:p w14:paraId="5B44F815" w14:textId="13772F6A" w:rsidR="00F60022" w:rsidRPr="009C396E" w:rsidRDefault="00A246FC" w:rsidP="007A163C">
            <w:pPr>
              <w:jc w:val="both"/>
            </w:pPr>
            <w:r>
              <w:t>A11</w:t>
            </w:r>
          </w:p>
        </w:tc>
        <w:tc>
          <w:tcPr>
            <w:tcW w:w="1818" w:type="dxa"/>
          </w:tcPr>
          <w:p w14:paraId="7FEE25A0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1350" w:type="dxa"/>
          </w:tcPr>
          <w:p w14:paraId="6E266FD2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5301" w:type="dxa"/>
          </w:tcPr>
          <w:p w14:paraId="539CBF81" w14:textId="77777777" w:rsidR="00F60022" w:rsidRPr="00D8282C" w:rsidRDefault="005B5287" w:rsidP="001448A3">
            <w:pPr>
              <w:jc w:val="left"/>
              <w:rPr>
                <w:b/>
                <w:color w:val="FF0000"/>
              </w:rPr>
            </w:pPr>
            <w:r w:rsidRPr="00D8282C">
              <w:rPr>
                <w:b/>
                <w:color w:val="000000" w:themeColor="text1"/>
              </w:rPr>
              <w:t>The s. 457 community routinely surveys itself through the National Association of Government Defined Contribution Administrators (NAGDCA)</w:t>
            </w:r>
            <w:r w:rsidR="001448A3" w:rsidRPr="00D8282C">
              <w:rPr>
                <w:b/>
                <w:color w:val="000000" w:themeColor="text1"/>
              </w:rPr>
              <w:t>, including plan and participant fees. The WDC participates in those surveys and receives the summary results</w:t>
            </w:r>
            <w:r w:rsidRPr="00D8282C">
              <w:rPr>
                <w:b/>
                <w:color w:val="000000" w:themeColor="text1"/>
              </w:rPr>
              <w:t>. The WDC also conducts its own benchmarking when necessary.</w:t>
            </w:r>
          </w:p>
        </w:tc>
      </w:tr>
      <w:tr w:rsidR="00F60022" w:rsidRPr="009C396E" w14:paraId="375D71BF" w14:textId="77777777" w:rsidTr="007A163C">
        <w:trPr>
          <w:jc w:val="left"/>
        </w:trPr>
        <w:tc>
          <w:tcPr>
            <w:tcW w:w="612" w:type="dxa"/>
          </w:tcPr>
          <w:p w14:paraId="1B2F0A2C" w14:textId="0969E3B0" w:rsidR="00F60022" w:rsidRPr="009C396E" w:rsidRDefault="00F60022" w:rsidP="007A163C">
            <w:pPr>
              <w:jc w:val="both"/>
            </w:pPr>
            <w:r w:rsidRPr="009C396E">
              <w:t>Q</w:t>
            </w:r>
            <w:r w:rsidR="00A246FC">
              <w:t>12</w:t>
            </w:r>
          </w:p>
        </w:tc>
        <w:tc>
          <w:tcPr>
            <w:tcW w:w="1818" w:type="dxa"/>
          </w:tcPr>
          <w:p w14:paraId="76A5EE82" w14:textId="77777777" w:rsidR="00F60022" w:rsidRPr="009C396E" w:rsidRDefault="00F60022" w:rsidP="007A163C">
            <w:pPr>
              <w:jc w:val="both"/>
            </w:pPr>
            <w:r>
              <w:t>1.1.1.</w:t>
            </w:r>
          </w:p>
        </w:tc>
        <w:tc>
          <w:tcPr>
            <w:tcW w:w="1350" w:type="dxa"/>
          </w:tcPr>
          <w:p w14:paraId="56BBD7BA" w14:textId="77777777" w:rsidR="00F60022" w:rsidRPr="009C396E" w:rsidRDefault="00F60022" w:rsidP="007A163C">
            <w:pPr>
              <w:jc w:val="both"/>
            </w:pPr>
            <w:r>
              <w:t>2</w:t>
            </w:r>
          </w:p>
        </w:tc>
        <w:tc>
          <w:tcPr>
            <w:tcW w:w="5301" w:type="dxa"/>
          </w:tcPr>
          <w:p w14:paraId="7F4FE6FD" w14:textId="77777777" w:rsidR="00F60022" w:rsidRPr="009C396E" w:rsidRDefault="00F60022" w:rsidP="007A163C">
            <w:pPr>
              <w:jc w:val="both"/>
            </w:pPr>
            <w:r>
              <w:t>Has the Plan received a Management Letter from the current Auditor? If, so may we have a copy?</w:t>
            </w:r>
          </w:p>
        </w:tc>
      </w:tr>
      <w:tr w:rsidR="00F60022" w:rsidRPr="009C396E" w14:paraId="471CEB8B" w14:textId="77777777" w:rsidTr="007A163C">
        <w:trPr>
          <w:jc w:val="left"/>
        </w:trPr>
        <w:tc>
          <w:tcPr>
            <w:tcW w:w="612" w:type="dxa"/>
          </w:tcPr>
          <w:p w14:paraId="16E16D5A" w14:textId="34EBBE62" w:rsidR="00F60022" w:rsidRPr="009C396E" w:rsidRDefault="00A246FC" w:rsidP="007A163C">
            <w:pPr>
              <w:jc w:val="both"/>
            </w:pPr>
            <w:r>
              <w:t>A12</w:t>
            </w:r>
          </w:p>
        </w:tc>
        <w:tc>
          <w:tcPr>
            <w:tcW w:w="1818" w:type="dxa"/>
          </w:tcPr>
          <w:p w14:paraId="612CDBAD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1350" w:type="dxa"/>
          </w:tcPr>
          <w:p w14:paraId="10F46EB7" w14:textId="77777777" w:rsidR="00F60022" w:rsidRPr="009C396E" w:rsidRDefault="00F60022" w:rsidP="007A163C">
            <w:pPr>
              <w:jc w:val="both"/>
              <w:rPr>
                <w:highlight w:val="lightGray"/>
              </w:rPr>
            </w:pPr>
          </w:p>
        </w:tc>
        <w:tc>
          <w:tcPr>
            <w:tcW w:w="5301" w:type="dxa"/>
          </w:tcPr>
          <w:p w14:paraId="0C48276B" w14:textId="3136BBF7" w:rsidR="00F60022" w:rsidRPr="009C396E" w:rsidRDefault="00811F5E" w:rsidP="005A24AB">
            <w:pPr>
              <w:jc w:val="left"/>
            </w:pPr>
            <w:r w:rsidRPr="00D8282C">
              <w:rPr>
                <w:b/>
                <w:color w:val="000000" w:themeColor="text1"/>
              </w:rPr>
              <w:t xml:space="preserve">Yes, </w:t>
            </w:r>
            <w:r w:rsidR="005A24AB" w:rsidRPr="00D8282C">
              <w:rPr>
                <w:b/>
                <w:color w:val="000000" w:themeColor="text1"/>
              </w:rPr>
              <w:t xml:space="preserve">a management letter is included with each report. A </w:t>
            </w:r>
            <w:r w:rsidRPr="00D8282C">
              <w:rPr>
                <w:b/>
                <w:color w:val="000000" w:themeColor="text1"/>
              </w:rPr>
              <w:t>copy of the final 2013 report and management letters may be found on the ETFs website at</w:t>
            </w:r>
            <w:r w:rsidRPr="00D8282C">
              <w:rPr>
                <w:color w:val="000000" w:themeColor="text1"/>
              </w:rPr>
              <w:t xml:space="preserve"> </w:t>
            </w:r>
            <w:hyperlink r:id="rId6" w:history="1">
              <w:r w:rsidR="00417AA5" w:rsidRPr="00426EC6">
                <w:rPr>
                  <w:rStyle w:val="Hyperlink"/>
                </w:rPr>
                <w:t>http://etfextranet.it.state.wi.us/etf/internet/RFP/WDC_audits/index.html</w:t>
              </w:r>
            </w:hyperlink>
            <w:r w:rsidR="00417AA5">
              <w:t xml:space="preserve"> </w:t>
            </w:r>
          </w:p>
        </w:tc>
      </w:tr>
    </w:tbl>
    <w:p w14:paraId="3B850BC3" w14:textId="77777777" w:rsidR="00F60022" w:rsidRDefault="00F60022" w:rsidP="00F60022">
      <w:pPr>
        <w:spacing w:after="0"/>
        <w:jc w:val="center"/>
      </w:pPr>
      <w:bookmarkStart w:id="0" w:name="_GoBack"/>
      <w:bookmarkEnd w:id="0"/>
    </w:p>
    <w:sectPr w:rsidR="00F60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9D"/>
    <w:rsid w:val="00093F02"/>
    <w:rsid w:val="001448A3"/>
    <w:rsid w:val="00147B17"/>
    <w:rsid w:val="001560A1"/>
    <w:rsid w:val="0023319D"/>
    <w:rsid w:val="002502CC"/>
    <w:rsid w:val="00271C72"/>
    <w:rsid w:val="002B311F"/>
    <w:rsid w:val="002E2B0D"/>
    <w:rsid w:val="003F19E5"/>
    <w:rsid w:val="00417AA5"/>
    <w:rsid w:val="00437174"/>
    <w:rsid w:val="005A24AB"/>
    <w:rsid w:val="005B5287"/>
    <w:rsid w:val="0064477F"/>
    <w:rsid w:val="006E56ED"/>
    <w:rsid w:val="007779CE"/>
    <w:rsid w:val="00811F5E"/>
    <w:rsid w:val="0085201C"/>
    <w:rsid w:val="008A7087"/>
    <w:rsid w:val="008E0C26"/>
    <w:rsid w:val="009313CC"/>
    <w:rsid w:val="00982AE2"/>
    <w:rsid w:val="00A246FC"/>
    <w:rsid w:val="00A840FE"/>
    <w:rsid w:val="00B21479"/>
    <w:rsid w:val="00B708B5"/>
    <w:rsid w:val="00D8282C"/>
    <w:rsid w:val="00DD6B4F"/>
    <w:rsid w:val="00F6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D79E8"/>
  <w15:chartTrackingRefBased/>
  <w15:docId w15:val="{E2BC086A-147C-4601-A2F3-CEAD7477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F6002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Cs/>
      <w:iCs/>
      <w:color w:val="44546A" w:themeColor="text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RWLTableStyle">
    <w:name w:val="LRWL Table Style"/>
    <w:basedOn w:val="TableNormal"/>
    <w:rsid w:val="00F60022"/>
    <w:pPr>
      <w:spacing w:before="60" w:after="60" w:line="240" w:lineRule="auto"/>
      <w:jc w:val="center"/>
    </w:pPr>
    <w:rPr>
      <w:rFonts w:ascii="Arial" w:eastAsia="Times New Roman" w:hAnsi="Arial" w:cs="Times New Roman"/>
      <w:sz w:val="21"/>
      <w:szCs w:val="20"/>
    </w:rPr>
    <w:tblPr>
      <w:jc w:val="center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 Rounded MT Bold" w:hAnsi="Arial Rounded MT Bold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customStyle="1" w:styleId="Heading5Char">
    <w:name w:val="Heading 5 Char"/>
    <w:basedOn w:val="DefaultParagraphFont"/>
    <w:link w:val="Heading5"/>
    <w:rsid w:val="00F60022"/>
    <w:rPr>
      <w:rFonts w:ascii="Times New Roman" w:eastAsia="Times New Roman" w:hAnsi="Times New Roman" w:cs="Times New Roman"/>
      <w:bCs/>
      <w:iCs/>
      <w:color w:val="44546A" w:themeColor="text2"/>
      <w:sz w:val="24"/>
      <w:szCs w:val="26"/>
    </w:rPr>
  </w:style>
  <w:style w:type="paragraph" w:styleId="Title">
    <w:name w:val="Title"/>
    <w:aliases w:val="Title A"/>
    <w:basedOn w:val="Normal"/>
    <w:link w:val="TitleChar"/>
    <w:qFormat/>
    <w:rsid w:val="00F6002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aliases w:val="Title A Char"/>
    <w:basedOn w:val="DefaultParagraphFont"/>
    <w:link w:val="Title"/>
    <w:rsid w:val="00F60022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47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A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3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1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fextranet.it.state.wi.us/etf/internet/RFP/WDC_audits/index.html" TargetMode="External"/><Relationship Id="rId5" Type="http://schemas.openxmlformats.org/officeDocument/2006/relationships/hyperlink" Target="http://etf.wi.gov/boards/agenda-items-2014/dc0603/item3r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Schipper, Kristen</dc:creator>
  <cp:keywords/>
  <dc:description/>
  <cp:lastModifiedBy>Schipper, Kristen</cp:lastModifiedBy>
  <cp:revision>2</cp:revision>
  <dcterms:created xsi:type="dcterms:W3CDTF">2014-08-27T20:35:00Z</dcterms:created>
  <dcterms:modified xsi:type="dcterms:W3CDTF">2014-08-27T20:35:00Z</dcterms:modified>
</cp:coreProperties>
</file>